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11" w:rsidRDefault="00534E11" w:rsidP="00534E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OSNOVNA ŠKOLA</w:t>
      </w:r>
    </w:p>
    <w:p w:rsidR="00534E11" w:rsidRDefault="00534E11" w:rsidP="00534E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MATIJA ANTUN RELJKOVIĆ</w:t>
      </w:r>
    </w:p>
    <w:p w:rsidR="00534E11" w:rsidRDefault="00534E11" w:rsidP="00534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Šetalište dr. Franje Tuđmana 3</w:t>
      </w:r>
    </w:p>
    <w:p w:rsidR="00534E11" w:rsidRDefault="00534E11" w:rsidP="001E1E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C E R N A</w:t>
      </w:r>
    </w:p>
    <w:p w:rsidR="001E1E84" w:rsidRPr="001E1E84" w:rsidRDefault="001E1E84" w:rsidP="001E1E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E11" w:rsidRPr="001E1E84" w:rsidRDefault="00534E11" w:rsidP="00534E11">
      <w:pPr>
        <w:spacing w:after="0"/>
        <w:rPr>
          <w:rFonts w:ascii="Times New Roman" w:hAnsi="Times New Roman" w:cs="Times New Roman"/>
        </w:rPr>
      </w:pPr>
      <w:r w:rsidRPr="001E1E84">
        <w:rPr>
          <w:rFonts w:ascii="Times New Roman" w:hAnsi="Times New Roman" w:cs="Times New Roman"/>
        </w:rPr>
        <w:t>KLASA:400-06/23-01/01</w:t>
      </w:r>
    </w:p>
    <w:p w:rsidR="00534E11" w:rsidRPr="001E1E84" w:rsidRDefault="00AA3B75" w:rsidP="00534E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URBROJ:2188-18-01-23-0</w:t>
      </w:r>
      <w:r w:rsidR="001D73B7">
        <w:rPr>
          <w:rFonts w:ascii="Times New Roman" w:hAnsi="Times New Roman" w:cs="Times New Roman"/>
        </w:rPr>
        <w:t>3</w:t>
      </w:r>
    </w:p>
    <w:p w:rsidR="00534E11" w:rsidRPr="001E1E84" w:rsidRDefault="00AA3B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Cerna, 18. prosinca</w:t>
      </w:r>
      <w:r w:rsidR="00534E11" w:rsidRPr="001E1E84">
        <w:rPr>
          <w:rFonts w:ascii="Times New Roman" w:hAnsi="Times New Roman" w:cs="Times New Roman"/>
        </w:rPr>
        <w:t xml:space="preserve"> 2023.</w:t>
      </w:r>
    </w:p>
    <w:p w:rsidR="00DF49E4" w:rsidRDefault="00534E11">
      <w:pPr>
        <w:rPr>
          <w:rFonts w:ascii="Times New Roman" w:hAnsi="Times New Roman" w:cs="Times New Roman"/>
        </w:rPr>
      </w:pPr>
      <w:r w:rsidRPr="001E1E84">
        <w:rPr>
          <w:rFonts w:ascii="Times New Roman" w:hAnsi="Times New Roman" w:cs="Times New Roman"/>
        </w:rPr>
        <w:t>Temeljem članka 15. Zakona o javnoj nabavi (NN 120/16</w:t>
      </w:r>
      <w:r w:rsidR="001D73B7">
        <w:rPr>
          <w:rFonts w:ascii="Times New Roman" w:hAnsi="Times New Roman" w:cs="Times New Roman"/>
        </w:rPr>
        <w:t xml:space="preserve"> i 114/22</w:t>
      </w:r>
      <w:r w:rsidRPr="001E1E84">
        <w:rPr>
          <w:rFonts w:ascii="Times New Roman" w:hAnsi="Times New Roman" w:cs="Times New Roman"/>
        </w:rPr>
        <w:t xml:space="preserve">) i članka 37. Statuta Osnovne škole Matija Antun </w:t>
      </w:r>
      <w:proofErr w:type="spellStart"/>
      <w:r w:rsidRPr="001E1E84">
        <w:rPr>
          <w:rFonts w:ascii="Times New Roman" w:hAnsi="Times New Roman" w:cs="Times New Roman"/>
        </w:rPr>
        <w:t>Reljković</w:t>
      </w:r>
      <w:proofErr w:type="spellEnd"/>
      <w:r w:rsidRPr="001E1E84">
        <w:rPr>
          <w:rFonts w:ascii="Times New Roman" w:hAnsi="Times New Roman" w:cs="Times New Roman"/>
        </w:rPr>
        <w:t xml:space="preserve">, Cerna, Školski odbor Osnovne škole Matija Antun </w:t>
      </w:r>
      <w:proofErr w:type="spellStart"/>
      <w:r w:rsidRPr="001E1E84">
        <w:rPr>
          <w:rFonts w:ascii="Times New Roman" w:hAnsi="Times New Roman" w:cs="Times New Roman"/>
        </w:rPr>
        <w:t>Reljković</w:t>
      </w:r>
      <w:proofErr w:type="spellEnd"/>
      <w:r w:rsidRPr="001E1E84">
        <w:rPr>
          <w:rFonts w:ascii="Times New Roman" w:hAnsi="Times New Roman" w:cs="Times New Roman"/>
        </w:rPr>
        <w:t xml:space="preserve">, Cerna na </w:t>
      </w:r>
      <w:r w:rsidR="00AA3B75">
        <w:rPr>
          <w:rFonts w:ascii="Times New Roman" w:hAnsi="Times New Roman" w:cs="Times New Roman"/>
        </w:rPr>
        <w:t>svojoj sjednici održanoj dana 18. prosinca</w:t>
      </w:r>
      <w:r w:rsidRPr="001E1E84">
        <w:rPr>
          <w:rFonts w:ascii="Times New Roman" w:hAnsi="Times New Roman" w:cs="Times New Roman"/>
        </w:rPr>
        <w:t xml:space="preserve"> 2023. godine pod t</w:t>
      </w:r>
      <w:r w:rsidR="00AA3B75">
        <w:rPr>
          <w:rFonts w:ascii="Times New Roman" w:hAnsi="Times New Roman" w:cs="Times New Roman"/>
        </w:rPr>
        <w:t>očkom 2</w:t>
      </w:r>
      <w:r w:rsidR="00866649" w:rsidRPr="001E1E84">
        <w:rPr>
          <w:rFonts w:ascii="Times New Roman" w:hAnsi="Times New Roman" w:cs="Times New Roman"/>
        </w:rPr>
        <w:t>. dnevnog reda donio je:</w:t>
      </w:r>
    </w:p>
    <w:p w:rsidR="00DF49E4" w:rsidRDefault="00DF49E4" w:rsidP="00DF49E4">
      <w:pPr>
        <w:rPr>
          <w:rFonts w:ascii="Times New Roman" w:hAnsi="Times New Roman" w:cs="Times New Roman"/>
        </w:rPr>
      </w:pPr>
    </w:p>
    <w:p w:rsidR="00534E11" w:rsidRPr="00DF49E4" w:rsidRDefault="00DF49E4" w:rsidP="00DF49E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</w:rPr>
        <w:t>DOPUNA</w:t>
      </w:r>
      <w:r w:rsidR="001D73B7">
        <w:rPr>
          <w:rFonts w:ascii="Times New Roman" w:hAnsi="Times New Roman" w:cs="Times New Roman"/>
          <w:b/>
          <w:sz w:val="24"/>
        </w:rPr>
        <w:t xml:space="preserve"> I IZMJENA</w:t>
      </w:r>
      <w:r>
        <w:rPr>
          <w:rFonts w:ascii="Times New Roman" w:hAnsi="Times New Roman" w:cs="Times New Roman"/>
          <w:b/>
          <w:sz w:val="24"/>
        </w:rPr>
        <w:t xml:space="preserve"> PLANA NABAVE ZA 2023. GODINU</w:t>
      </w:r>
    </w:p>
    <w:tbl>
      <w:tblPr>
        <w:tblStyle w:val="Reetkatablice"/>
        <w:tblpPr w:leftFromText="180" w:rightFromText="180" w:vertAnchor="text" w:horzAnchor="margin" w:tblpXSpec="center" w:tblpY="1281"/>
        <w:tblW w:w="11481" w:type="dxa"/>
        <w:tblLook w:val="04A0" w:firstRow="1" w:lastRow="0" w:firstColumn="1" w:lastColumn="0" w:noHBand="0" w:noVBand="1"/>
      </w:tblPr>
      <w:tblGrid>
        <w:gridCol w:w="617"/>
        <w:gridCol w:w="1847"/>
        <w:gridCol w:w="1847"/>
        <w:gridCol w:w="2859"/>
        <w:gridCol w:w="141"/>
        <w:gridCol w:w="1648"/>
        <w:gridCol w:w="2522"/>
      </w:tblGrid>
      <w:tr w:rsidR="00DF49E4" w:rsidRPr="00E75AA4" w:rsidTr="00DF49E4">
        <w:trPr>
          <w:trHeight w:val="457"/>
        </w:trPr>
        <w:tc>
          <w:tcPr>
            <w:tcW w:w="617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E75AA4">
              <w:rPr>
                <w:rFonts w:eastAsiaTheme="minorHAnsi"/>
                <w:lang w:eastAsia="en-US"/>
              </w:rPr>
              <w:t>Red. broj</w:t>
            </w:r>
          </w:p>
        </w:tc>
        <w:tc>
          <w:tcPr>
            <w:tcW w:w="1847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Evidencijski broj nabave</w:t>
            </w:r>
          </w:p>
        </w:tc>
        <w:tc>
          <w:tcPr>
            <w:tcW w:w="1847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E75AA4">
              <w:rPr>
                <w:rFonts w:eastAsiaTheme="minorHAnsi"/>
                <w:lang w:eastAsia="en-US"/>
              </w:rPr>
              <w:t>Predmet nabave</w:t>
            </w:r>
          </w:p>
        </w:tc>
        <w:tc>
          <w:tcPr>
            <w:tcW w:w="2859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E75AA4">
              <w:rPr>
                <w:rFonts w:eastAsiaTheme="minorHAnsi"/>
                <w:lang w:eastAsia="en-US"/>
              </w:rPr>
              <w:t xml:space="preserve">Procijenjena vrijednost nabave bez </w:t>
            </w:r>
            <w:proofErr w:type="spellStart"/>
            <w:r w:rsidRPr="00E75AA4">
              <w:rPr>
                <w:rFonts w:eastAsiaTheme="minorHAnsi"/>
                <w:lang w:eastAsia="en-US"/>
              </w:rPr>
              <w:t>pdv-a</w:t>
            </w:r>
            <w:proofErr w:type="spellEnd"/>
          </w:p>
        </w:tc>
        <w:tc>
          <w:tcPr>
            <w:tcW w:w="1789" w:type="dxa"/>
            <w:gridSpan w:val="2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E75AA4">
              <w:rPr>
                <w:rFonts w:eastAsiaTheme="minorHAnsi"/>
                <w:lang w:eastAsia="en-US"/>
              </w:rPr>
              <w:t>Vrsta postupka javne nabave</w:t>
            </w:r>
          </w:p>
        </w:tc>
        <w:tc>
          <w:tcPr>
            <w:tcW w:w="2522" w:type="dxa"/>
          </w:tcPr>
          <w:p w:rsidR="00DF49E4" w:rsidRPr="00E75AA4" w:rsidRDefault="002C44C7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Finan</w:t>
            </w:r>
            <w:proofErr w:type="spellEnd"/>
            <w:r>
              <w:rPr>
                <w:rFonts w:eastAsiaTheme="minorHAnsi"/>
                <w:lang w:eastAsia="en-US"/>
              </w:rPr>
              <w:t>. Plan. 2023</w:t>
            </w:r>
            <w:bookmarkStart w:id="0" w:name="_GoBack"/>
            <w:bookmarkEnd w:id="0"/>
            <w:r w:rsidR="00DF49E4" w:rsidRPr="00E75AA4">
              <w:rPr>
                <w:rFonts w:eastAsiaTheme="minorHAnsi"/>
                <w:lang w:eastAsia="en-US"/>
              </w:rPr>
              <w:t>.</w:t>
            </w:r>
          </w:p>
        </w:tc>
      </w:tr>
      <w:tr w:rsidR="00DF49E4" w:rsidRPr="00E75AA4" w:rsidTr="00DF49E4">
        <w:trPr>
          <w:trHeight w:val="457"/>
        </w:trPr>
        <w:tc>
          <w:tcPr>
            <w:tcW w:w="617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E75AA4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847" w:type="dxa"/>
          </w:tcPr>
          <w:p w:rsidR="00DF49E4" w:rsidRPr="00AA3B75" w:rsidRDefault="00DF49E4" w:rsidP="00E75AA4">
            <w:pPr>
              <w:spacing w:after="0" w:line="240" w:lineRule="auto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A3B75">
              <w:rPr>
                <w:rFonts w:cstheme="minorHAnsi"/>
                <w:color w:val="000000"/>
                <w:sz w:val="20"/>
                <w:szCs w:val="20"/>
              </w:rPr>
              <w:t>1/2023/EMV</w:t>
            </w:r>
          </w:p>
        </w:tc>
        <w:tc>
          <w:tcPr>
            <w:tcW w:w="1847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E75AA4">
              <w:rPr>
                <w:rFonts w:eastAsiaTheme="minorHAnsi"/>
                <w:lang w:eastAsia="en-US"/>
              </w:rPr>
              <w:t>Pekarski proizvodi</w:t>
            </w:r>
          </w:p>
        </w:tc>
        <w:tc>
          <w:tcPr>
            <w:tcW w:w="3000" w:type="dxa"/>
            <w:gridSpan w:val="2"/>
          </w:tcPr>
          <w:p w:rsidR="00DF49E4" w:rsidRDefault="00DF49E4" w:rsidP="00E75AA4">
            <w:pPr>
              <w:spacing w:after="0" w:line="240" w:lineRule="auto"/>
              <w:rPr>
                <w:rFonts w:eastAsiaTheme="minorHAnsi"/>
                <w:strike/>
                <w:lang w:eastAsia="en-US"/>
              </w:rPr>
            </w:pPr>
            <w:r w:rsidRPr="00E75AA4">
              <w:rPr>
                <w:rFonts w:eastAsiaTheme="minorHAnsi"/>
                <w:strike/>
                <w:lang w:eastAsia="en-US"/>
              </w:rPr>
              <w:t>13.273,16€/100.000,00 kn</w:t>
            </w:r>
          </w:p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16.000,00</w:t>
            </w:r>
            <w:r>
              <w:rPr>
                <w:rFonts w:eastAsiaTheme="minorHAnsi" w:cstheme="minorHAnsi"/>
                <w:lang w:eastAsia="en-US"/>
              </w:rPr>
              <w:t>€</w:t>
            </w:r>
            <w:r>
              <w:rPr>
                <w:rFonts w:eastAsiaTheme="minorHAnsi"/>
                <w:lang w:eastAsia="en-US"/>
              </w:rPr>
              <w:t>/120.552,00kn</w:t>
            </w:r>
          </w:p>
        </w:tc>
        <w:tc>
          <w:tcPr>
            <w:tcW w:w="1648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E75AA4">
              <w:rPr>
                <w:rFonts w:eastAsiaTheme="minorHAnsi"/>
                <w:lang w:eastAsia="en-US"/>
              </w:rPr>
              <w:t>Jednostavna nabava</w:t>
            </w:r>
          </w:p>
        </w:tc>
        <w:tc>
          <w:tcPr>
            <w:tcW w:w="2522" w:type="dxa"/>
          </w:tcPr>
          <w:p w:rsidR="00DF49E4" w:rsidRDefault="00DF49E4" w:rsidP="001D39FF">
            <w:pPr>
              <w:spacing w:after="0" w:line="240" w:lineRule="auto"/>
              <w:rPr>
                <w:rFonts w:eastAsiaTheme="minorHAnsi"/>
                <w:strike/>
                <w:lang w:eastAsia="en-US"/>
              </w:rPr>
            </w:pPr>
            <w:r w:rsidRPr="00E75AA4">
              <w:rPr>
                <w:rFonts w:eastAsiaTheme="minorHAnsi"/>
                <w:strike/>
                <w:lang w:eastAsia="en-US"/>
              </w:rPr>
              <w:t>13.273,16€/100.000,00 kn</w:t>
            </w:r>
          </w:p>
          <w:p w:rsidR="00DF49E4" w:rsidRPr="00E75AA4" w:rsidRDefault="00DF49E4" w:rsidP="001D39FF">
            <w:pPr>
              <w:spacing w:after="0" w:line="240" w:lineRule="auto"/>
              <w:rPr>
                <w:rFonts w:eastAsiaTheme="minorHAnsi"/>
                <w:strike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16.000,00</w:t>
            </w:r>
            <w:r>
              <w:rPr>
                <w:rFonts w:eastAsiaTheme="minorHAnsi" w:cstheme="minorHAnsi"/>
                <w:lang w:eastAsia="en-US"/>
              </w:rPr>
              <w:t>€</w:t>
            </w:r>
            <w:r>
              <w:rPr>
                <w:rFonts w:eastAsiaTheme="minorHAnsi"/>
                <w:lang w:eastAsia="en-US"/>
              </w:rPr>
              <w:t>/120.552,00kn</w:t>
            </w:r>
          </w:p>
        </w:tc>
      </w:tr>
      <w:tr w:rsidR="00DF49E4" w:rsidRPr="00E75AA4" w:rsidTr="00DF49E4">
        <w:trPr>
          <w:trHeight w:val="457"/>
        </w:trPr>
        <w:tc>
          <w:tcPr>
            <w:tcW w:w="617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E75AA4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1847" w:type="dxa"/>
          </w:tcPr>
          <w:p w:rsidR="00DF49E4" w:rsidRPr="00AA3B75" w:rsidRDefault="00DF49E4" w:rsidP="00E75AA4">
            <w:pPr>
              <w:spacing w:after="0" w:line="240" w:lineRule="auto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A3B75">
              <w:rPr>
                <w:rFonts w:cstheme="minorHAnsi"/>
                <w:color w:val="000000"/>
                <w:sz w:val="20"/>
                <w:szCs w:val="20"/>
              </w:rPr>
              <w:t>2/2023/EMV</w:t>
            </w:r>
          </w:p>
        </w:tc>
        <w:tc>
          <w:tcPr>
            <w:tcW w:w="1847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E75AA4">
              <w:rPr>
                <w:rFonts w:eastAsiaTheme="minorHAnsi"/>
                <w:lang w:eastAsia="en-US"/>
              </w:rPr>
              <w:t>Električna energija</w:t>
            </w:r>
          </w:p>
        </w:tc>
        <w:tc>
          <w:tcPr>
            <w:tcW w:w="3000" w:type="dxa"/>
            <w:gridSpan w:val="2"/>
          </w:tcPr>
          <w:p w:rsidR="00DF49E4" w:rsidRDefault="00DF49E4" w:rsidP="00E75AA4">
            <w:pPr>
              <w:spacing w:after="0" w:line="240" w:lineRule="auto"/>
              <w:rPr>
                <w:rFonts w:eastAsiaTheme="minorHAnsi"/>
                <w:strike/>
                <w:lang w:eastAsia="en-US"/>
              </w:rPr>
            </w:pPr>
            <w:r w:rsidRPr="00E75AA4">
              <w:rPr>
                <w:rFonts w:eastAsiaTheme="minorHAnsi"/>
                <w:strike/>
                <w:lang w:eastAsia="en-US"/>
              </w:rPr>
              <w:t>11.945,85€/90.000,00 kn</w:t>
            </w:r>
          </w:p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E75AA4">
              <w:rPr>
                <w:rFonts w:eastAsiaTheme="minorHAnsi"/>
                <w:lang w:eastAsia="en-US"/>
              </w:rPr>
              <w:t>16.000,00</w:t>
            </w:r>
            <w:r>
              <w:rPr>
                <w:rFonts w:eastAsiaTheme="minorHAnsi" w:cstheme="minorHAnsi"/>
                <w:lang w:eastAsia="en-US"/>
              </w:rPr>
              <w:t>€</w:t>
            </w:r>
            <w:r>
              <w:rPr>
                <w:rFonts w:eastAsiaTheme="minorHAnsi"/>
                <w:lang w:eastAsia="en-US"/>
              </w:rPr>
              <w:t>/120.552,00kn</w:t>
            </w:r>
          </w:p>
        </w:tc>
        <w:tc>
          <w:tcPr>
            <w:tcW w:w="1648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E75AA4">
              <w:rPr>
                <w:rFonts w:eastAsiaTheme="minorHAnsi"/>
                <w:lang w:eastAsia="en-US"/>
              </w:rPr>
              <w:t>Jednostavna nabava</w:t>
            </w:r>
          </w:p>
        </w:tc>
        <w:tc>
          <w:tcPr>
            <w:tcW w:w="2522" w:type="dxa"/>
          </w:tcPr>
          <w:p w:rsidR="00DF49E4" w:rsidRDefault="00DF49E4" w:rsidP="00E75AA4">
            <w:pPr>
              <w:spacing w:after="0" w:line="240" w:lineRule="auto"/>
              <w:rPr>
                <w:rFonts w:eastAsiaTheme="minorHAnsi"/>
                <w:strike/>
                <w:lang w:eastAsia="en-US"/>
              </w:rPr>
            </w:pPr>
            <w:r w:rsidRPr="00E75AA4">
              <w:rPr>
                <w:rFonts w:eastAsiaTheme="minorHAnsi"/>
                <w:strike/>
                <w:lang w:eastAsia="en-US"/>
              </w:rPr>
              <w:t>11.945,85€/90.000,00 kn</w:t>
            </w:r>
          </w:p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strike/>
                <w:lang w:eastAsia="en-US"/>
              </w:rPr>
            </w:pPr>
            <w:r w:rsidRPr="00E75AA4">
              <w:rPr>
                <w:rFonts w:eastAsiaTheme="minorHAnsi"/>
                <w:lang w:eastAsia="en-US"/>
              </w:rPr>
              <w:t>16.000,00</w:t>
            </w:r>
            <w:r>
              <w:rPr>
                <w:rFonts w:eastAsiaTheme="minorHAnsi" w:cstheme="minorHAnsi"/>
                <w:lang w:eastAsia="en-US"/>
              </w:rPr>
              <w:t>€</w:t>
            </w:r>
            <w:r>
              <w:rPr>
                <w:rFonts w:eastAsiaTheme="minorHAnsi"/>
                <w:lang w:eastAsia="en-US"/>
              </w:rPr>
              <w:t>/120.552,00kn</w:t>
            </w:r>
          </w:p>
        </w:tc>
      </w:tr>
      <w:tr w:rsidR="00DF49E4" w:rsidRPr="00E75AA4" w:rsidTr="00DF49E4">
        <w:trPr>
          <w:trHeight w:val="457"/>
        </w:trPr>
        <w:tc>
          <w:tcPr>
            <w:tcW w:w="617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E75AA4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1847" w:type="dxa"/>
          </w:tcPr>
          <w:p w:rsidR="00DF49E4" w:rsidRPr="00AA3B75" w:rsidRDefault="00DF49E4" w:rsidP="00E75AA4">
            <w:pPr>
              <w:spacing w:after="0" w:line="240" w:lineRule="auto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A3B75">
              <w:rPr>
                <w:rFonts w:cstheme="minorHAnsi"/>
                <w:color w:val="000000"/>
                <w:sz w:val="20"/>
                <w:szCs w:val="20"/>
              </w:rPr>
              <w:t>3/2023/EMV</w:t>
            </w:r>
          </w:p>
        </w:tc>
        <w:tc>
          <w:tcPr>
            <w:tcW w:w="1847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E75AA4">
              <w:rPr>
                <w:rFonts w:eastAsiaTheme="minorHAnsi"/>
                <w:lang w:eastAsia="en-US"/>
              </w:rPr>
              <w:t>Prirodni plin</w:t>
            </w:r>
          </w:p>
        </w:tc>
        <w:tc>
          <w:tcPr>
            <w:tcW w:w="3000" w:type="dxa"/>
            <w:gridSpan w:val="2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E75AA4">
              <w:rPr>
                <w:rFonts w:eastAsiaTheme="minorHAnsi"/>
                <w:lang w:eastAsia="en-US"/>
              </w:rPr>
              <w:t>25217,33€/190.000,00 kn</w:t>
            </w:r>
          </w:p>
        </w:tc>
        <w:tc>
          <w:tcPr>
            <w:tcW w:w="1648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E75AA4">
              <w:rPr>
                <w:rFonts w:eastAsiaTheme="minorHAnsi"/>
                <w:lang w:eastAsia="en-US"/>
              </w:rPr>
              <w:t>Jednostavna nabava</w:t>
            </w:r>
          </w:p>
        </w:tc>
        <w:tc>
          <w:tcPr>
            <w:tcW w:w="2522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E75AA4">
              <w:rPr>
                <w:rFonts w:eastAsiaTheme="minorHAnsi"/>
                <w:lang w:eastAsia="en-US"/>
              </w:rPr>
              <w:t>25217,33€/190.000,00 kn</w:t>
            </w:r>
          </w:p>
        </w:tc>
      </w:tr>
      <w:tr w:rsidR="00DF49E4" w:rsidRPr="00E75AA4" w:rsidTr="00DF49E4">
        <w:trPr>
          <w:trHeight w:val="457"/>
        </w:trPr>
        <w:tc>
          <w:tcPr>
            <w:tcW w:w="617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E75AA4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1847" w:type="dxa"/>
          </w:tcPr>
          <w:p w:rsidR="00DF49E4" w:rsidRPr="00AA3B75" w:rsidRDefault="00DF49E4" w:rsidP="00DF49E4">
            <w:pPr>
              <w:spacing w:after="0" w:line="240" w:lineRule="auto"/>
              <w:textAlignment w:val="top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3B75">
              <w:rPr>
                <w:rFonts w:cstheme="minorHAnsi"/>
                <w:color w:val="000000"/>
                <w:sz w:val="20"/>
                <w:szCs w:val="20"/>
              </w:rPr>
              <w:br/>
              <w:t>4/2023/EMV</w:t>
            </w:r>
          </w:p>
          <w:p w:rsidR="00DF49E4" w:rsidRPr="00AA3B75" w:rsidRDefault="00DF49E4" w:rsidP="00E75AA4">
            <w:pPr>
              <w:spacing w:after="0" w:line="240" w:lineRule="auto"/>
              <w:rPr>
                <w:rFonts w:eastAsia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E75AA4">
              <w:rPr>
                <w:rFonts w:eastAsiaTheme="minorHAnsi"/>
                <w:lang w:eastAsia="en-US"/>
              </w:rPr>
              <w:t>Udžbenici, obvezni i izborni predmeti za školsku godinu 2022./2023.</w:t>
            </w:r>
          </w:p>
        </w:tc>
        <w:tc>
          <w:tcPr>
            <w:tcW w:w="3000" w:type="dxa"/>
            <w:gridSpan w:val="2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E75AA4">
              <w:rPr>
                <w:rFonts w:eastAsiaTheme="minorHAnsi"/>
                <w:lang w:eastAsia="en-US"/>
              </w:rPr>
              <w:t>15.926,74€/120.000,00 kn</w:t>
            </w:r>
          </w:p>
        </w:tc>
        <w:tc>
          <w:tcPr>
            <w:tcW w:w="1648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E75AA4">
              <w:rPr>
                <w:rFonts w:eastAsiaTheme="minorHAnsi"/>
                <w:lang w:eastAsia="en-US"/>
              </w:rPr>
              <w:t>Jednostavna nabava</w:t>
            </w:r>
          </w:p>
        </w:tc>
        <w:tc>
          <w:tcPr>
            <w:tcW w:w="2522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E75AA4">
              <w:rPr>
                <w:rFonts w:eastAsiaTheme="minorHAnsi"/>
                <w:lang w:eastAsia="en-US"/>
              </w:rPr>
              <w:t>15.926,74€/120.000,00 kn</w:t>
            </w:r>
          </w:p>
        </w:tc>
      </w:tr>
      <w:tr w:rsidR="00DF49E4" w:rsidRPr="00E75AA4" w:rsidTr="00DF49E4">
        <w:trPr>
          <w:trHeight w:val="457"/>
        </w:trPr>
        <w:tc>
          <w:tcPr>
            <w:tcW w:w="617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E75AA4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1847" w:type="dxa"/>
          </w:tcPr>
          <w:p w:rsidR="00DF49E4" w:rsidRPr="00AA3B75" w:rsidRDefault="00DF49E4" w:rsidP="00E75AA4">
            <w:pPr>
              <w:spacing w:after="0" w:line="240" w:lineRule="auto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A3B75">
              <w:rPr>
                <w:rFonts w:cstheme="minorHAnsi"/>
                <w:color w:val="000000"/>
                <w:sz w:val="20"/>
                <w:szCs w:val="20"/>
              </w:rPr>
              <w:t>5/2023/EMV</w:t>
            </w:r>
          </w:p>
        </w:tc>
        <w:tc>
          <w:tcPr>
            <w:tcW w:w="1847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E75AA4">
              <w:rPr>
                <w:rFonts w:eastAsiaTheme="minorHAnsi"/>
                <w:lang w:eastAsia="en-US"/>
              </w:rPr>
              <w:t>Sredstva za čišćenje</w:t>
            </w:r>
          </w:p>
        </w:tc>
        <w:tc>
          <w:tcPr>
            <w:tcW w:w="3000" w:type="dxa"/>
            <w:gridSpan w:val="2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E75AA4">
              <w:rPr>
                <w:rFonts w:eastAsiaTheme="minorHAnsi"/>
                <w:lang w:eastAsia="en-US"/>
              </w:rPr>
              <w:t>3.981,68€/30.000,00 kn</w:t>
            </w:r>
          </w:p>
        </w:tc>
        <w:tc>
          <w:tcPr>
            <w:tcW w:w="1648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E75AA4">
              <w:rPr>
                <w:rFonts w:eastAsiaTheme="minorHAnsi"/>
                <w:lang w:eastAsia="en-US"/>
              </w:rPr>
              <w:t>Jednostavna nabava</w:t>
            </w:r>
          </w:p>
        </w:tc>
        <w:tc>
          <w:tcPr>
            <w:tcW w:w="2522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E75AA4">
              <w:rPr>
                <w:rFonts w:eastAsiaTheme="minorHAnsi"/>
                <w:lang w:eastAsia="en-US"/>
              </w:rPr>
              <w:t>3.981,68€/30.000,00 kn</w:t>
            </w:r>
          </w:p>
        </w:tc>
      </w:tr>
      <w:tr w:rsidR="00DF49E4" w:rsidRPr="00E75AA4" w:rsidTr="00DF49E4">
        <w:trPr>
          <w:trHeight w:val="457"/>
        </w:trPr>
        <w:tc>
          <w:tcPr>
            <w:tcW w:w="617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1847" w:type="dxa"/>
          </w:tcPr>
          <w:p w:rsidR="00DF49E4" w:rsidRPr="00AA3B75" w:rsidRDefault="00DF49E4" w:rsidP="00E75AA4">
            <w:pPr>
              <w:spacing w:after="0" w:line="240" w:lineRule="auto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A3B75">
              <w:rPr>
                <w:rFonts w:cstheme="minorHAnsi"/>
                <w:color w:val="000000"/>
                <w:sz w:val="20"/>
                <w:szCs w:val="20"/>
              </w:rPr>
              <w:t>6/2023/EMV</w:t>
            </w:r>
          </w:p>
        </w:tc>
        <w:tc>
          <w:tcPr>
            <w:tcW w:w="1847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Proizvodi životinjskog podrijetla, mesa i mesni proizvodi</w:t>
            </w:r>
          </w:p>
        </w:tc>
        <w:tc>
          <w:tcPr>
            <w:tcW w:w="3000" w:type="dxa"/>
            <w:gridSpan w:val="2"/>
          </w:tcPr>
          <w:p w:rsidR="00DF49E4" w:rsidRPr="001D39FF" w:rsidRDefault="00DF49E4" w:rsidP="00E75AA4">
            <w:pPr>
              <w:spacing w:after="0" w:line="240" w:lineRule="auto"/>
              <w:rPr>
                <w:rFonts w:eastAsiaTheme="minorHAnsi"/>
                <w:strike/>
                <w:lang w:eastAsia="en-US"/>
              </w:rPr>
            </w:pPr>
            <w:r w:rsidRPr="001D39FF">
              <w:rPr>
                <w:rFonts w:eastAsiaTheme="minorHAnsi"/>
                <w:strike/>
                <w:lang w:eastAsia="en-US"/>
              </w:rPr>
              <w:t>9.000,00</w:t>
            </w:r>
            <w:r w:rsidRPr="001D39FF">
              <w:rPr>
                <w:rFonts w:eastAsiaTheme="minorHAnsi" w:cstheme="minorHAnsi"/>
                <w:strike/>
                <w:lang w:eastAsia="en-US"/>
              </w:rPr>
              <w:t>€</w:t>
            </w:r>
            <w:r w:rsidRPr="001D39FF">
              <w:rPr>
                <w:rFonts w:eastAsiaTheme="minorHAnsi"/>
                <w:strike/>
                <w:lang w:eastAsia="en-US"/>
              </w:rPr>
              <w:t>/67.810,5kn</w:t>
            </w:r>
          </w:p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11.000,00</w:t>
            </w:r>
            <w:r>
              <w:rPr>
                <w:rFonts w:eastAsiaTheme="minorHAnsi" w:cstheme="minorHAnsi"/>
                <w:lang w:eastAsia="en-US"/>
              </w:rPr>
              <w:t>€</w:t>
            </w:r>
            <w:r>
              <w:rPr>
                <w:rFonts w:eastAsiaTheme="minorHAnsi"/>
                <w:lang w:eastAsia="en-US"/>
              </w:rPr>
              <w:t>/82.879,5kn</w:t>
            </w:r>
          </w:p>
        </w:tc>
        <w:tc>
          <w:tcPr>
            <w:tcW w:w="1648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Jednostavna nabava</w:t>
            </w:r>
          </w:p>
        </w:tc>
        <w:tc>
          <w:tcPr>
            <w:tcW w:w="2522" w:type="dxa"/>
          </w:tcPr>
          <w:p w:rsidR="00DF49E4" w:rsidRPr="001D39FF" w:rsidRDefault="00DF49E4" w:rsidP="001D39FF">
            <w:pPr>
              <w:spacing w:after="0" w:line="240" w:lineRule="auto"/>
              <w:rPr>
                <w:rFonts w:eastAsiaTheme="minorHAnsi"/>
                <w:strike/>
                <w:lang w:eastAsia="en-US"/>
              </w:rPr>
            </w:pPr>
            <w:r w:rsidRPr="001D39FF">
              <w:rPr>
                <w:rFonts w:eastAsiaTheme="minorHAnsi"/>
                <w:strike/>
                <w:lang w:eastAsia="en-US"/>
              </w:rPr>
              <w:t>9.000,00</w:t>
            </w:r>
            <w:r w:rsidRPr="001D39FF">
              <w:rPr>
                <w:rFonts w:eastAsiaTheme="minorHAnsi" w:cstheme="minorHAnsi"/>
                <w:strike/>
                <w:lang w:eastAsia="en-US"/>
              </w:rPr>
              <w:t>€</w:t>
            </w:r>
            <w:r w:rsidRPr="001D39FF">
              <w:rPr>
                <w:rFonts w:eastAsiaTheme="minorHAnsi"/>
                <w:strike/>
                <w:lang w:eastAsia="en-US"/>
              </w:rPr>
              <w:t>/67.810,5kn</w:t>
            </w:r>
          </w:p>
          <w:p w:rsidR="00DF49E4" w:rsidRPr="00E75AA4" w:rsidRDefault="00DF49E4" w:rsidP="001D39FF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11.000,00</w:t>
            </w:r>
            <w:r>
              <w:rPr>
                <w:rFonts w:eastAsiaTheme="minorHAnsi" w:cstheme="minorHAnsi"/>
                <w:lang w:eastAsia="en-US"/>
              </w:rPr>
              <w:t>€</w:t>
            </w:r>
            <w:r>
              <w:rPr>
                <w:rFonts w:eastAsiaTheme="minorHAnsi"/>
                <w:lang w:eastAsia="en-US"/>
              </w:rPr>
              <w:t>/82.879,5kn</w:t>
            </w:r>
          </w:p>
        </w:tc>
      </w:tr>
      <w:tr w:rsidR="00DF49E4" w:rsidRPr="00E75AA4" w:rsidTr="00DF49E4">
        <w:trPr>
          <w:trHeight w:val="457"/>
        </w:trPr>
        <w:tc>
          <w:tcPr>
            <w:tcW w:w="617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1847" w:type="dxa"/>
          </w:tcPr>
          <w:p w:rsidR="00DF49E4" w:rsidRPr="00AA3B75" w:rsidRDefault="00DF49E4" w:rsidP="00E75AA4">
            <w:pPr>
              <w:spacing w:after="0" w:line="240" w:lineRule="auto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A3B75">
              <w:rPr>
                <w:rFonts w:cstheme="minorHAnsi"/>
                <w:color w:val="000000"/>
                <w:sz w:val="20"/>
                <w:szCs w:val="20"/>
              </w:rPr>
              <w:t>7/2023/EMV</w:t>
            </w:r>
          </w:p>
        </w:tc>
        <w:tc>
          <w:tcPr>
            <w:tcW w:w="1847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Slastice</w:t>
            </w:r>
          </w:p>
        </w:tc>
        <w:tc>
          <w:tcPr>
            <w:tcW w:w="3000" w:type="dxa"/>
            <w:gridSpan w:val="2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5.000,00</w:t>
            </w:r>
            <w:r>
              <w:rPr>
                <w:rFonts w:eastAsiaTheme="minorHAnsi" w:cstheme="minorHAnsi"/>
                <w:lang w:eastAsia="en-US"/>
              </w:rPr>
              <w:t>€</w:t>
            </w:r>
            <w:r>
              <w:rPr>
                <w:rFonts w:eastAsiaTheme="minorHAnsi"/>
                <w:lang w:eastAsia="en-US"/>
              </w:rPr>
              <w:t>/37.672,50kn</w:t>
            </w:r>
          </w:p>
        </w:tc>
        <w:tc>
          <w:tcPr>
            <w:tcW w:w="1648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Jednostavna nabava</w:t>
            </w:r>
          </w:p>
        </w:tc>
        <w:tc>
          <w:tcPr>
            <w:tcW w:w="2522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5.000,00</w:t>
            </w:r>
            <w:r>
              <w:rPr>
                <w:rFonts w:eastAsiaTheme="minorHAnsi" w:cstheme="minorHAnsi"/>
                <w:lang w:eastAsia="en-US"/>
              </w:rPr>
              <w:t>€</w:t>
            </w:r>
            <w:r>
              <w:rPr>
                <w:rFonts w:eastAsiaTheme="minorHAnsi"/>
                <w:lang w:eastAsia="en-US"/>
              </w:rPr>
              <w:t>/37.672,5kn</w:t>
            </w:r>
          </w:p>
        </w:tc>
      </w:tr>
      <w:tr w:rsidR="00DF49E4" w:rsidRPr="00E75AA4" w:rsidTr="00DF49E4">
        <w:trPr>
          <w:trHeight w:val="457"/>
        </w:trPr>
        <w:tc>
          <w:tcPr>
            <w:tcW w:w="617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1847" w:type="dxa"/>
          </w:tcPr>
          <w:p w:rsidR="00DF49E4" w:rsidRPr="00AA3B75" w:rsidRDefault="00AA3B75" w:rsidP="00E75AA4">
            <w:pPr>
              <w:spacing w:after="0" w:line="240" w:lineRule="auto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A3B75">
              <w:rPr>
                <w:rFonts w:cstheme="minorHAnsi"/>
                <w:color w:val="000000"/>
                <w:sz w:val="20"/>
                <w:szCs w:val="20"/>
              </w:rPr>
              <w:t>8/2023/EMV</w:t>
            </w:r>
          </w:p>
        </w:tc>
        <w:tc>
          <w:tcPr>
            <w:tcW w:w="1847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Mliječni proizvodi</w:t>
            </w:r>
          </w:p>
        </w:tc>
        <w:tc>
          <w:tcPr>
            <w:tcW w:w="3000" w:type="dxa"/>
            <w:gridSpan w:val="2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12.000,00</w:t>
            </w:r>
            <w:r>
              <w:rPr>
                <w:rFonts w:eastAsiaTheme="minorHAnsi" w:cstheme="minorHAnsi"/>
                <w:lang w:eastAsia="en-US"/>
              </w:rPr>
              <w:t>€</w:t>
            </w:r>
            <w:r>
              <w:rPr>
                <w:rFonts w:eastAsiaTheme="minorHAnsi"/>
                <w:lang w:eastAsia="en-US"/>
              </w:rPr>
              <w:t>/90.414,00kn</w:t>
            </w:r>
          </w:p>
        </w:tc>
        <w:tc>
          <w:tcPr>
            <w:tcW w:w="1648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Jednostavna nabava</w:t>
            </w:r>
          </w:p>
        </w:tc>
        <w:tc>
          <w:tcPr>
            <w:tcW w:w="2522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12.000,00</w:t>
            </w:r>
            <w:r>
              <w:rPr>
                <w:rFonts w:eastAsiaTheme="minorHAnsi" w:cstheme="minorHAnsi"/>
                <w:lang w:eastAsia="en-US"/>
              </w:rPr>
              <w:t>€</w:t>
            </w:r>
            <w:r>
              <w:rPr>
                <w:rFonts w:eastAsiaTheme="minorHAnsi"/>
                <w:lang w:eastAsia="en-US"/>
              </w:rPr>
              <w:t>/90.414,00kn</w:t>
            </w:r>
          </w:p>
        </w:tc>
      </w:tr>
      <w:tr w:rsidR="00DF49E4" w:rsidRPr="00E75AA4" w:rsidTr="00DF49E4">
        <w:trPr>
          <w:trHeight w:val="457"/>
        </w:trPr>
        <w:tc>
          <w:tcPr>
            <w:tcW w:w="617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1847" w:type="dxa"/>
          </w:tcPr>
          <w:p w:rsidR="00DF49E4" w:rsidRPr="00AA3B75" w:rsidRDefault="00AA3B75" w:rsidP="00E75AA4">
            <w:pPr>
              <w:spacing w:after="0" w:line="240" w:lineRule="auto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A3B75">
              <w:rPr>
                <w:rFonts w:cstheme="minorHAnsi"/>
                <w:color w:val="000000"/>
                <w:sz w:val="20"/>
                <w:szCs w:val="20"/>
              </w:rPr>
              <w:t>9/2023/EMV</w:t>
            </w:r>
          </w:p>
        </w:tc>
        <w:tc>
          <w:tcPr>
            <w:tcW w:w="1847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Edukacija osnove rada na 3D printeru</w:t>
            </w:r>
          </w:p>
        </w:tc>
        <w:tc>
          <w:tcPr>
            <w:tcW w:w="3000" w:type="dxa"/>
            <w:gridSpan w:val="2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4.788,02</w:t>
            </w:r>
            <w:r>
              <w:rPr>
                <w:rFonts w:eastAsiaTheme="minorHAnsi" w:cstheme="minorHAnsi"/>
                <w:lang w:eastAsia="en-US"/>
              </w:rPr>
              <w:t>€</w:t>
            </w:r>
            <w:r>
              <w:rPr>
                <w:rFonts w:eastAsiaTheme="minorHAnsi"/>
                <w:lang w:eastAsia="en-US"/>
              </w:rPr>
              <w:t>/36.000,00kn</w:t>
            </w:r>
          </w:p>
        </w:tc>
        <w:tc>
          <w:tcPr>
            <w:tcW w:w="1648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Jednostavna nabava</w:t>
            </w:r>
          </w:p>
        </w:tc>
        <w:tc>
          <w:tcPr>
            <w:tcW w:w="2522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4.788,02</w:t>
            </w:r>
            <w:r>
              <w:rPr>
                <w:rFonts w:eastAsiaTheme="minorHAnsi" w:cstheme="minorHAnsi"/>
                <w:lang w:eastAsia="en-US"/>
              </w:rPr>
              <w:t>€</w:t>
            </w:r>
            <w:r>
              <w:rPr>
                <w:rFonts w:eastAsiaTheme="minorHAnsi"/>
                <w:lang w:eastAsia="en-US"/>
              </w:rPr>
              <w:t>/36.000,00kn</w:t>
            </w:r>
          </w:p>
        </w:tc>
      </w:tr>
      <w:tr w:rsidR="00DF49E4" w:rsidRPr="00E75AA4" w:rsidTr="00DF49E4">
        <w:trPr>
          <w:trHeight w:val="457"/>
        </w:trPr>
        <w:tc>
          <w:tcPr>
            <w:tcW w:w="617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10.</w:t>
            </w:r>
          </w:p>
        </w:tc>
        <w:tc>
          <w:tcPr>
            <w:tcW w:w="1847" w:type="dxa"/>
          </w:tcPr>
          <w:p w:rsidR="00AA3B75" w:rsidRPr="00AA3B75" w:rsidRDefault="00AA3B75" w:rsidP="00AA3B75">
            <w:pPr>
              <w:spacing w:after="0" w:line="240" w:lineRule="auto"/>
              <w:textAlignment w:val="top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3B75">
              <w:rPr>
                <w:rFonts w:cstheme="minorHAnsi"/>
                <w:color w:val="000000"/>
                <w:sz w:val="20"/>
                <w:szCs w:val="20"/>
              </w:rPr>
              <w:br/>
              <w:t>10/2023/EMW</w:t>
            </w:r>
          </w:p>
          <w:p w:rsidR="00DF49E4" w:rsidRPr="00AA3B75" w:rsidRDefault="00DF49E4" w:rsidP="00E75AA4">
            <w:pPr>
              <w:spacing w:after="0" w:line="240" w:lineRule="auto"/>
              <w:rPr>
                <w:rFonts w:eastAsia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Spajanje na sustav kanalizacije</w:t>
            </w:r>
          </w:p>
        </w:tc>
        <w:tc>
          <w:tcPr>
            <w:tcW w:w="3000" w:type="dxa"/>
            <w:gridSpan w:val="2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7.805,42</w:t>
            </w:r>
            <w:r>
              <w:rPr>
                <w:rFonts w:eastAsiaTheme="minorHAnsi" w:cstheme="minorHAnsi"/>
                <w:lang w:eastAsia="en-US"/>
              </w:rPr>
              <w:t>€</w:t>
            </w:r>
            <w:r>
              <w:rPr>
                <w:rFonts w:eastAsiaTheme="minorHAnsi"/>
                <w:lang w:eastAsia="en-US"/>
              </w:rPr>
              <w:t>/58.809,94kn</w:t>
            </w:r>
          </w:p>
        </w:tc>
        <w:tc>
          <w:tcPr>
            <w:tcW w:w="1648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Jednostavna nabava</w:t>
            </w:r>
          </w:p>
        </w:tc>
        <w:tc>
          <w:tcPr>
            <w:tcW w:w="2522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7.805,42</w:t>
            </w:r>
            <w:r>
              <w:rPr>
                <w:rFonts w:eastAsiaTheme="minorHAnsi" w:cstheme="minorHAnsi"/>
                <w:lang w:eastAsia="en-US"/>
              </w:rPr>
              <w:t>€</w:t>
            </w:r>
            <w:r>
              <w:rPr>
                <w:rFonts w:eastAsiaTheme="minorHAnsi"/>
                <w:lang w:eastAsia="en-US"/>
              </w:rPr>
              <w:t>/58.809,94kn</w:t>
            </w:r>
          </w:p>
        </w:tc>
      </w:tr>
      <w:tr w:rsidR="00DF49E4" w:rsidRPr="00E75AA4" w:rsidTr="00DF49E4">
        <w:trPr>
          <w:trHeight w:val="457"/>
        </w:trPr>
        <w:tc>
          <w:tcPr>
            <w:tcW w:w="617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1847" w:type="dxa"/>
          </w:tcPr>
          <w:p w:rsidR="00AA3B75" w:rsidRPr="00AA3B75" w:rsidRDefault="00AA3B75" w:rsidP="00AA3B75">
            <w:pPr>
              <w:spacing w:after="0" w:line="240" w:lineRule="auto"/>
              <w:textAlignment w:val="top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3B75">
              <w:rPr>
                <w:rFonts w:cstheme="minorHAnsi"/>
                <w:color w:val="000000"/>
                <w:sz w:val="20"/>
                <w:szCs w:val="20"/>
              </w:rPr>
              <w:br/>
              <w:t>11/2023/EMV</w:t>
            </w:r>
          </w:p>
          <w:p w:rsidR="00DF49E4" w:rsidRPr="00AA3B75" w:rsidRDefault="00DF49E4" w:rsidP="00E75AA4">
            <w:pPr>
              <w:spacing w:after="0" w:line="240" w:lineRule="auto"/>
              <w:rPr>
                <w:rFonts w:eastAsia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Oprema za kabinet kemije, biologije i tehničku kulturu</w:t>
            </w:r>
          </w:p>
        </w:tc>
        <w:tc>
          <w:tcPr>
            <w:tcW w:w="3000" w:type="dxa"/>
            <w:gridSpan w:val="2"/>
          </w:tcPr>
          <w:p w:rsidR="00DF49E4" w:rsidRDefault="00DF49E4" w:rsidP="00E75AA4">
            <w:pPr>
              <w:spacing w:after="0" w:line="240" w:lineRule="auto"/>
              <w:rPr>
                <w:rFonts w:eastAsiaTheme="minorHAnsi"/>
                <w:strike/>
                <w:lang w:eastAsia="en-US"/>
              </w:rPr>
            </w:pPr>
            <w:r w:rsidRPr="00833BC5">
              <w:rPr>
                <w:rFonts w:eastAsiaTheme="minorHAnsi"/>
                <w:strike/>
                <w:lang w:eastAsia="en-US"/>
              </w:rPr>
              <w:t>17.922,88</w:t>
            </w:r>
            <w:r w:rsidRPr="00833BC5">
              <w:rPr>
                <w:rFonts w:eastAsiaTheme="minorHAnsi" w:cstheme="minorHAnsi"/>
                <w:strike/>
                <w:lang w:eastAsia="en-US"/>
              </w:rPr>
              <w:t>€</w:t>
            </w:r>
            <w:r w:rsidRPr="00833BC5">
              <w:rPr>
                <w:rFonts w:eastAsiaTheme="minorHAnsi"/>
                <w:strike/>
                <w:lang w:eastAsia="en-US"/>
              </w:rPr>
              <w:t>/135.039,94kn</w:t>
            </w:r>
          </w:p>
          <w:p w:rsidR="00DF49E4" w:rsidRPr="00833BC5" w:rsidRDefault="00DF49E4" w:rsidP="00833BC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17.800,00</w:t>
            </w:r>
            <w:r>
              <w:rPr>
                <w:rFonts w:eastAsiaTheme="minorHAnsi" w:cstheme="minorHAnsi"/>
                <w:lang w:eastAsia="en-US"/>
              </w:rPr>
              <w:t>€</w:t>
            </w:r>
            <w:r>
              <w:rPr>
                <w:rFonts w:eastAsiaTheme="minorHAnsi"/>
                <w:lang w:eastAsia="en-US"/>
              </w:rPr>
              <w:t>/134.114,1kn</w:t>
            </w:r>
          </w:p>
        </w:tc>
        <w:tc>
          <w:tcPr>
            <w:tcW w:w="1648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Jednostavna nabava</w:t>
            </w:r>
          </w:p>
        </w:tc>
        <w:tc>
          <w:tcPr>
            <w:tcW w:w="2522" w:type="dxa"/>
          </w:tcPr>
          <w:p w:rsidR="00DF49E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833BC5">
              <w:rPr>
                <w:rFonts w:eastAsiaTheme="minorHAnsi"/>
                <w:strike/>
                <w:lang w:eastAsia="en-US"/>
              </w:rPr>
              <w:t>17.922,88</w:t>
            </w:r>
            <w:r w:rsidRPr="00833BC5">
              <w:rPr>
                <w:rFonts w:eastAsiaTheme="minorHAnsi" w:cstheme="minorHAnsi"/>
                <w:strike/>
                <w:lang w:eastAsia="en-US"/>
              </w:rPr>
              <w:t>€</w:t>
            </w:r>
            <w:r w:rsidRPr="00833BC5">
              <w:rPr>
                <w:rFonts w:eastAsiaTheme="minorHAnsi"/>
                <w:strike/>
                <w:lang w:eastAsia="en-US"/>
              </w:rPr>
              <w:t>/135.039,94kn</w:t>
            </w:r>
          </w:p>
          <w:p w:rsidR="00DF49E4" w:rsidRPr="00833BC5" w:rsidRDefault="00DF49E4" w:rsidP="00833BC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17.800,00</w:t>
            </w:r>
            <w:r>
              <w:rPr>
                <w:rFonts w:eastAsiaTheme="minorHAnsi" w:cstheme="minorHAnsi"/>
                <w:lang w:eastAsia="en-US"/>
              </w:rPr>
              <w:t>€</w:t>
            </w:r>
            <w:r>
              <w:rPr>
                <w:rFonts w:eastAsiaTheme="minorHAnsi"/>
                <w:lang w:eastAsia="en-US"/>
              </w:rPr>
              <w:t>/134.114,1kn</w:t>
            </w:r>
          </w:p>
        </w:tc>
      </w:tr>
      <w:tr w:rsidR="00DF49E4" w:rsidRPr="00E75AA4" w:rsidTr="00DF49E4">
        <w:trPr>
          <w:trHeight w:val="457"/>
        </w:trPr>
        <w:tc>
          <w:tcPr>
            <w:tcW w:w="617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1847" w:type="dxa"/>
          </w:tcPr>
          <w:p w:rsidR="00DF49E4" w:rsidRPr="00AA3B75" w:rsidRDefault="00AA3B75" w:rsidP="00E75AA4">
            <w:pPr>
              <w:spacing w:after="0" w:line="240" w:lineRule="auto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A3B75">
              <w:rPr>
                <w:rFonts w:cstheme="minorHAnsi"/>
                <w:color w:val="000000"/>
                <w:sz w:val="20"/>
                <w:szCs w:val="20"/>
              </w:rPr>
              <w:t>12/2023/EMV</w:t>
            </w:r>
          </w:p>
        </w:tc>
        <w:tc>
          <w:tcPr>
            <w:tcW w:w="1847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Oprema za školsku kuhinju</w:t>
            </w:r>
          </w:p>
        </w:tc>
        <w:tc>
          <w:tcPr>
            <w:tcW w:w="3000" w:type="dxa"/>
            <w:gridSpan w:val="2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4.032,00</w:t>
            </w:r>
            <w:r>
              <w:rPr>
                <w:rFonts w:eastAsiaTheme="minorHAnsi" w:cstheme="minorHAnsi"/>
                <w:lang w:eastAsia="en-US"/>
              </w:rPr>
              <w:t>€</w:t>
            </w:r>
            <w:r>
              <w:rPr>
                <w:rFonts w:eastAsiaTheme="minorHAnsi"/>
                <w:lang w:eastAsia="en-US"/>
              </w:rPr>
              <w:t>/30.379,10kn</w:t>
            </w:r>
          </w:p>
        </w:tc>
        <w:tc>
          <w:tcPr>
            <w:tcW w:w="1648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Jednostavna nabava</w:t>
            </w:r>
          </w:p>
        </w:tc>
        <w:tc>
          <w:tcPr>
            <w:tcW w:w="2522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4.032,00</w:t>
            </w:r>
            <w:r>
              <w:rPr>
                <w:rFonts w:eastAsiaTheme="minorHAnsi" w:cstheme="minorHAnsi"/>
                <w:lang w:eastAsia="en-US"/>
              </w:rPr>
              <w:t>€</w:t>
            </w:r>
            <w:r>
              <w:rPr>
                <w:rFonts w:eastAsiaTheme="minorHAnsi"/>
                <w:lang w:eastAsia="en-US"/>
              </w:rPr>
              <w:t>/30.379,1kn</w:t>
            </w:r>
          </w:p>
        </w:tc>
      </w:tr>
      <w:tr w:rsidR="00DF49E4" w:rsidRPr="00E75AA4" w:rsidTr="00DF49E4">
        <w:trPr>
          <w:trHeight w:val="457"/>
        </w:trPr>
        <w:tc>
          <w:tcPr>
            <w:tcW w:w="617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1847" w:type="dxa"/>
          </w:tcPr>
          <w:p w:rsidR="00DF49E4" w:rsidRPr="00AA3B75" w:rsidRDefault="00AA3B75" w:rsidP="00E75AA4">
            <w:pPr>
              <w:spacing w:after="0" w:line="240" w:lineRule="auto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A3B75">
              <w:rPr>
                <w:rFonts w:cstheme="minorHAnsi"/>
                <w:color w:val="000000"/>
                <w:sz w:val="20"/>
                <w:szCs w:val="20"/>
              </w:rPr>
              <w:t>13/2023/EMV</w:t>
            </w:r>
          </w:p>
        </w:tc>
        <w:tc>
          <w:tcPr>
            <w:tcW w:w="1847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Građevinski radovi i materijal za izradu pergole</w:t>
            </w:r>
          </w:p>
        </w:tc>
        <w:tc>
          <w:tcPr>
            <w:tcW w:w="3000" w:type="dxa"/>
            <w:gridSpan w:val="2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11.891,96</w:t>
            </w:r>
            <w:r>
              <w:rPr>
                <w:rFonts w:eastAsiaTheme="minorHAnsi" w:cstheme="minorHAnsi"/>
                <w:lang w:eastAsia="en-US"/>
              </w:rPr>
              <w:t>€</w:t>
            </w:r>
            <w:r>
              <w:rPr>
                <w:rFonts w:eastAsiaTheme="minorHAnsi"/>
                <w:lang w:eastAsia="en-US"/>
              </w:rPr>
              <w:t>/89.599,97kn</w:t>
            </w:r>
          </w:p>
        </w:tc>
        <w:tc>
          <w:tcPr>
            <w:tcW w:w="1648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Jednostavna nabava</w:t>
            </w:r>
          </w:p>
        </w:tc>
        <w:tc>
          <w:tcPr>
            <w:tcW w:w="2522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11.891,96</w:t>
            </w:r>
            <w:r>
              <w:rPr>
                <w:rFonts w:eastAsiaTheme="minorHAnsi" w:cstheme="minorHAnsi"/>
                <w:lang w:eastAsia="en-US"/>
              </w:rPr>
              <w:t>€</w:t>
            </w:r>
            <w:r>
              <w:rPr>
                <w:rFonts w:eastAsiaTheme="minorHAnsi"/>
                <w:lang w:eastAsia="en-US"/>
              </w:rPr>
              <w:t>/89.599,97kn</w:t>
            </w:r>
          </w:p>
        </w:tc>
      </w:tr>
      <w:tr w:rsidR="00DF49E4" w:rsidRPr="00E75AA4" w:rsidTr="00DF49E4">
        <w:trPr>
          <w:trHeight w:val="457"/>
        </w:trPr>
        <w:tc>
          <w:tcPr>
            <w:tcW w:w="617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1847" w:type="dxa"/>
          </w:tcPr>
          <w:p w:rsidR="00DF49E4" w:rsidRPr="00AA3B75" w:rsidRDefault="00AA3B75" w:rsidP="00E75AA4">
            <w:pPr>
              <w:spacing w:after="0" w:line="240" w:lineRule="auto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A3B75">
              <w:rPr>
                <w:rFonts w:cstheme="minorHAnsi"/>
                <w:color w:val="000000"/>
                <w:sz w:val="20"/>
                <w:szCs w:val="20"/>
              </w:rPr>
              <w:t>14/2023/EMV</w:t>
            </w:r>
          </w:p>
        </w:tc>
        <w:tc>
          <w:tcPr>
            <w:tcW w:w="1847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Neurofeedback</w:t>
            </w:r>
            <w:proofErr w:type="spellEnd"/>
            <w:r>
              <w:rPr>
                <w:rFonts w:eastAsiaTheme="minorHAnsi"/>
                <w:lang w:eastAsia="en-US"/>
              </w:rPr>
              <w:t xml:space="preserve"> uređaj za potrebe provedbe aktivnosti A6.6.</w:t>
            </w:r>
          </w:p>
        </w:tc>
        <w:tc>
          <w:tcPr>
            <w:tcW w:w="3000" w:type="dxa"/>
            <w:gridSpan w:val="2"/>
          </w:tcPr>
          <w:p w:rsidR="00DF49E4" w:rsidRPr="00DF49E4" w:rsidRDefault="00DF49E4" w:rsidP="00E75AA4">
            <w:pPr>
              <w:spacing w:after="0" w:line="240" w:lineRule="auto"/>
              <w:rPr>
                <w:rFonts w:eastAsiaTheme="minorHAnsi"/>
                <w:strike/>
                <w:lang w:eastAsia="en-US"/>
              </w:rPr>
            </w:pPr>
            <w:r w:rsidRPr="00DF49E4">
              <w:rPr>
                <w:rFonts w:eastAsiaTheme="minorHAnsi"/>
                <w:strike/>
                <w:lang w:eastAsia="en-US"/>
              </w:rPr>
              <w:t>5.521,27</w:t>
            </w:r>
            <w:r w:rsidRPr="00DF49E4">
              <w:rPr>
                <w:rFonts w:eastAsiaTheme="minorHAnsi" w:cstheme="minorHAnsi"/>
                <w:strike/>
                <w:lang w:eastAsia="en-US"/>
              </w:rPr>
              <w:t>€</w:t>
            </w:r>
            <w:r w:rsidRPr="00DF49E4">
              <w:rPr>
                <w:rFonts w:eastAsiaTheme="minorHAnsi"/>
                <w:strike/>
                <w:lang w:eastAsia="en-US"/>
              </w:rPr>
              <w:t>/41.600,00kn</w:t>
            </w:r>
          </w:p>
          <w:p w:rsidR="00DF49E4" w:rsidRPr="00DF49E4" w:rsidRDefault="00DF49E4" w:rsidP="00DF49E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6.270,80</w:t>
            </w:r>
            <w:r>
              <w:rPr>
                <w:rFonts w:eastAsiaTheme="minorHAnsi" w:cstheme="minorHAnsi"/>
                <w:lang w:eastAsia="en-US"/>
              </w:rPr>
              <w:t>€</w:t>
            </w:r>
            <w:r>
              <w:rPr>
                <w:rFonts w:eastAsiaTheme="minorHAnsi"/>
                <w:lang w:eastAsia="en-US"/>
              </w:rPr>
              <w:t>/47.247,34kn</w:t>
            </w:r>
          </w:p>
        </w:tc>
        <w:tc>
          <w:tcPr>
            <w:tcW w:w="1648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Jednostavna nabava</w:t>
            </w:r>
          </w:p>
        </w:tc>
        <w:tc>
          <w:tcPr>
            <w:tcW w:w="2522" w:type="dxa"/>
          </w:tcPr>
          <w:p w:rsidR="00DF49E4" w:rsidRPr="00DF49E4" w:rsidRDefault="00DF49E4" w:rsidP="00DF49E4">
            <w:pPr>
              <w:spacing w:after="0" w:line="240" w:lineRule="auto"/>
              <w:rPr>
                <w:rFonts w:eastAsiaTheme="minorHAnsi"/>
                <w:strike/>
                <w:lang w:eastAsia="en-US"/>
              </w:rPr>
            </w:pPr>
            <w:r w:rsidRPr="00DF49E4">
              <w:rPr>
                <w:rFonts w:eastAsiaTheme="minorHAnsi"/>
                <w:strike/>
                <w:lang w:eastAsia="en-US"/>
              </w:rPr>
              <w:t>5.521,27</w:t>
            </w:r>
            <w:r w:rsidRPr="00DF49E4">
              <w:rPr>
                <w:rFonts w:eastAsiaTheme="minorHAnsi" w:cstheme="minorHAnsi"/>
                <w:strike/>
                <w:lang w:eastAsia="en-US"/>
              </w:rPr>
              <w:t>€</w:t>
            </w:r>
            <w:r w:rsidRPr="00DF49E4">
              <w:rPr>
                <w:rFonts w:eastAsiaTheme="minorHAnsi"/>
                <w:strike/>
                <w:lang w:eastAsia="en-US"/>
              </w:rPr>
              <w:t>/41.600,00kn</w:t>
            </w:r>
          </w:p>
          <w:p w:rsidR="00DF49E4" w:rsidRPr="00E75AA4" w:rsidRDefault="00DF49E4" w:rsidP="00DF49E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6.270,80</w:t>
            </w:r>
            <w:r>
              <w:rPr>
                <w:rFonts w:eastAsiaTheme="minorHAnsi" w:cstheme="minorHAnsi"/>
                <w:lang w:eastAsia="en-US"/>
              </w:rPr>
              <w:t>€</w:t>
            </w:r>
            <w:r>
              <w:rPr>
                <w:rFonts w:eastAsiaTheme="minorHAnsi"/>
                <w:lang w:eastAsia="en-US"/>
              </w:rPr>
              <w:t>/47.247,34kn</w:t>
            </w:r>
          </w:p>
        </w:tc>
      </w:tr>
      <w:tr w:rsidR="00DF49E4" w:rsidRPr="00E75AA4" w:rsidTr="00DF49E4">
        <w:trPr>
          <w:trHeight w:val="457"/>
        </w:trPr>
        <w:tc>
          <w:tcPr>
            <w:tcW w:w="617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1847" w:type="dxa"/>
          </w:tcPr>
          <w:p w:rsidR="00DF49E4" w:rsidRPr="00AA3B75" w:rsidRDefault="00AA3B75" w:rsidP="00E75AA4">
            <w:pPr>
              <w:spacing w:after="0" w:line="240" w:lineRule="auto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A3B75">
              <w:rPr>
                <w:rFonts w:eastAsiaTheme="minorHAnsi" w:cstheme="minorHAnsi"/>
                <w:sz w:val="20"/>
                <w:szCs w:val="20"/>
                <w:lang w:eastAsia="en-US"/>
              </w:rPr>
              <w:t>15/2023/EMV</w:t>
            </w:r>
          </w:p>
        </w:tc>
        <w:tc>
          <w:tcPr>
            <w:tcW w:w="1847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Svježe voće</w:t>
            </w:r>
          </w:p>
        </w:tc>
        <w:tc>
          <w:tcPr>
            <w:tcW w:w="3000" w:type="dxa"/>
            <w:gridSpan w:val="2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5.000,00</w:t>
            </w:r>
            <w:r>
              <w:rPr>
                <w:rFonts w:eastAsiaTheme="minorHAnsi" w:cstheme="minorHAnsi"/>
                <w:lang w:eastAsia="en-US"/>
              </w:rPr>
              <w:t>€</w:t>
            </w:r>
            <w:r>
              <w:rPr>
                <w:rFonts w:eastAsiaTheme="minorHAnsi"/>
                <w:lang w:eastAsia="en-US"/>
              </w:rPr>
              <w:t>/37.672,50kn</w:t>
            </w:r>
          </w:p>
        </w:tc>
        <w:tc>
          <w:tcPr>
            <w:tcW w:w="1648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Jednostavna nabava</w:t>
            </w:r>
          </w:p>
        </w:tc>
        <w:tc>
          <w:tcPr>
            <w:tcW w:w="2522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5.000,00</w:t>
            </w:r>
            <w:r>
              <w:rPr>
                <w:rFonts w:eastAsiaTheme="minorHAnsi" w:cstheme="minorHAnsi"/>
                <w:lang w:eastAsia="en-US"/>
              </w:rPr>
              <w:t>€</w:t>
            </w:r>
            <w:r>
              <w:rPr>
                <w:rFonts w:eastAsiaTheme="minorHAnsi"/>
                <w:lang w:eastAsia="en-US"/>
              </w:rPr>
              <w:t>/37.672,50</w:t>
            </w:r>
          </w:p>
        </w:tc>
      </w:tr>
      <w:tr w:rsidR="00DF49E4" w:rsidRPr="00E75AA4" w:rsidTr="00DF49E4">
        <w:trPr>
          <w:trHeight w:val="457"/>
        </w:trPr>
        <w:tc>
          <w:tcPr>
            <w:tcW w:w="617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</w:t>
            </w:r>
          </w:p>
        </w:tc>
        <w:tc>
          <w:tcPr>
            <w:tcW w:w="1847" w:type="dxa"/>
          </w:tcPr>
          <w:p w:rsidR="00DF49E4" w:rsidRPr="00AA3B75" w:rsidRDefault="00AA3B75" w:rsidP="00E75AA4">
            <w:pPr>
              <w:spacing w:after="0" w:line="240" w:lineRule="auto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A3B75">
              <w:rPr>
                <w:rFonts w:eastAsiaTheme="minorHAnsi" w:cstheme="minorHAnsi"/>
                <w:sz w:val="20"/>
                <w:szCs w:val="20"/>
                <w:lang w:eastAsia="en-US"/>
              </w:rPr>
              <w:t>16/2023/EMV</w:t>
            </w:r>
          </w:p>
        </w:tc>
        <w:tc>
          <w:tcPr>
            <w:tcW w:w="1847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Svježe povrće</w:t>
            </w:r>
          </w:p>
        </w:tc>
        <w:tc>
          <w:tcPr>
            <w:tcW w:w="3000" w:type="dxa"/>
            <w:gridSpan w:val="2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3.000,00</w:t>
            </w:r>
            <w:r>
              <w:rPr>
                <w:rFonts w:eastAsiaTheme="minorHAnsi" w:cstheme="minorHAnsi"/>
                <w:lang w:eastAsia="en-US"/>
              </w:rPr>
              <w:t>€</w:t>
            </w:r>
            <w:r>
              <w:rPr>
                <w:rFonts w:eastAsiaTheme="minorHAnsi"/>
                <w:lang w:eastAsia="en-US"/>
              </w:rPr>
              <w:t>/22.603,50kn</w:t>
            </w:r>
          </w:p>
        </w:tc>
        <w:tc>
          <w:tcPr>
            <w:tcW w:w="1648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Jednostavna nabava</w:t>
            </w:r>
          </w:p>
        </w:tc>
        <w:tc>
          <w:tcPr>
            <w:tcW w:w="2522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3.000,00</w:t>
            </w:r>
            <w:r>
              <w:rPr>
                <w:rFonts w:eastAsiaTheme="minorHAnsi" w:cstheme="minorHAnsi"/>
                <w:lang w:eastAsia="en-US"/>
              </w:rPr>
              <w:t>€</w:t>
            </w:r>
            <w:r>
              <w:rPr>
                <w:rFonts w:eastAsiaTheme="minorHAnsi"/>
                <w:lang w:eastAsia="en-US"/>
              </w:rPr>
              <w:t>/22.603,50kn</w:t>
            </w:r>
          </w:p>
        </w:tc>
      </w:tr>
      <w:tr w:rsidR="00DF49E4" w:rsidRPr="00E75AA4" w:rsidTr="00DF49E4">
        <w:trPr>
          <w:trHeight w:val="457"/>
        </w:trPr>
        <w:tc>
          <w:tcPr>
            <w:tcW w:w="617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</w:t>
            </w:r>
          </w:p>
        </w:tc>
        <w:tc>
          <w:tcPr>
            <w:tcW w:w="1847" w:type="dxa"/>
          </w:tcPr>
          <w:p w:rsidR="00DF49E4" w:rsidRPr="00AA3B75" w:rsidRDefault="00AA3B75" w:rsidP="00E75AA4">
            <w:pPr>
              <w:spacing w:after="0" w:line="240" w:lineRule="auto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A3B75">
              <w:rPr>
                <w:rFonts w:eastAsiaTheme="minorHAnsi" w:cstheme="minorHAnsi"/>
                <w:sz w:val="20"/>
                <w:szCs w:val="20"/>
                <w:lang w:eastAsia="en-US"/>
              </w:rPr>
              <w:t>17/2023/EMV</w:t>
            </w:r>
          </w:p>
        </w:tc>
        <w:tc>
          <w:tcPr>
            <w:tcW w:w="1847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Povrće konzervirano</w:t>
            </w:r>
          </w:p>
        </w:tc>
        <w:tc>
          <w:tcPr>
            <w:tcW w:w="3000" w:type="dxa"/>
            <w:gridSpan w:val="2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4.500,00</w:t>
            </w:r>
            <w:r>
              <w:rPr>
                <w:rFonts w:eastAsiaTheme="minorHAnsi" w:cstheme="minorHAnsi"/>
                <w:lang w:eastAsia="en-US"/>
              </w:rPr>
              <w:t>€</w:t>
            </w:r>
            <w:r>
              <w:rPr>
                <w:rFonts w:eastAsiaTheme="minorHAnsi"/>
                <w:lang w:eastAsia="en-US"/>
              </w:rPr>
              <w:t>/33.905,25kn</w:t>
            </w:r>
          </w:p>
        </w:tc>
        <w:tc>
          <w:tcPr>
            <w:tcW w:w="1648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Jednostavna nabava</w:t>
            </w:r>
          </w:p>
        </w:tc>
        <w:tc>
          <w:tcPr>
            <w:tcW w:w="2522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4.500,00</w:t>
            </w:r>
            <w:r>
              <w:rPr>
                <w:rFonts w:eastAsiaTheme="minorHAnsi" w:cstheme="minorHAnsi"/>
                <w:lang w:eastAsia="en-US"/>
              </w:rPr>
              <w:t>€</w:t>
            </w:r>
            <w:r>
              <w:rPr>
                <w:rFonts w:eastAsiaTheme="minorHAnsi"/>
                <w:lang w:eastAsia="en-US"/>
              </w:rPr>
              <w:t>/33.905,25kn</w:t>
            </w:r>
          </w:p>
        </w:tc>
      </w:tr>
      <w:tr w:rsidR="00DF49E4" w:rsidRPr="00E75AA4" w:rsidTr="00DF49E4">
        <w:trPr>
          <w:trHeight w:val="457"/>
        </w:trPr>
        <w:tc>
          <w:tcPr>
            <w:tcW w:w="617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</w:t>
            </w:r>
          </w:p>
        </w:tc>
        <w:tc>
          <w:tcPr>
            <w:tcW w:w="1847" w:type="dxa"/>
          </w:tcPr>
          <w:p w:rsidR="00DF49E4" w:rsidRPr="00AA3B75" w:rsidRDefault="00AA3B75" w:rsidP="00E75AA4">
            <w:pPr>
              <w:spacing w:after="0" w:line="240" w:lineRule="auto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A3B75">
              <w:rPr>
                <w:rFonts w:eastAsiaTheme="minorHAnsi" w:cstheme="minorHAnsi"/>
                <w:sz w:val="20"/>
                <w:szCs w:val="20"/>
                <w:lang w:eastAsia="en-US"/>
              </w:rPr>
              <w:t>18/2023/EMV</w:t>
            </w:r>
          </w:p>
        </w:tc>
        <w:tc>
          <w:tcPr>
            <w:tcW w:w="1847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Mesni pripravci</w:t>
            </w:r>
          </w:p>
        </w:tc>
        <w:tc>
          <w:tcPr>
            <w:tcW w:w="3000" w:type="dxa"/>
            <w:gridSpan w:val="2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6.000,00</w:t>
            </w:r>
            <w:r>
              <w:rPr>
                <w:rFonts w:eastAsiaTheme="minorHAnsi" w:cstheme="minorHAnsi"/>
                <w:lang w:eastAsia="en-US"/>
              </w:rPr>
              <w:t>€/45.207,00kn</w:t>
            </w:r>
          </w:p>
        </w:tc>
        <w:tc>
          <w:tcPr>
            <w:tcW w:w="1648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Jednostavna nabava</w:t>
            </w:r>
          </w:p>
        </w:tc>
        <w:tc>
          <w:tcPr>
            <w:tcW w:w="2522" w:type="dxa"/>
          </w:tcPr>
          <w:p w:rsidR="00DF49E4" w:rsidRPr="00E75AA4" w:rsidRDefault="00DF49E4" w:rsidP="00E75AA4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6.000,00</w:t>
            </w:r>
            <w:r>
              <w:rPr>
                <w:rFonts w:eastAsiaTheme="minorHAnsi" w:cstheme="minorHAnsi"/>
                <w:lang w:eastAsia="en-US"/>
              </w:rPr>
              <w:t>€/45.207,00kn</w:t>
            </w:r>
          </w:p>
        </w:tc>
      </w:tr>
    </w:tbl>
    <w:p w:rsidR="00E75AA4" w:rsidRDefault="00E75AA4" w:rsidP="00E30C50">
      <w:pPr>
        <w:rPr>
          <w:rFonts w:ascii="Times New Roman" w:hAnsi="Times New Roman" w:cs="Times New Roman"/>
          <w:b/>
          <w:sz w:val="24"/>
        </w:rPr>
      </w:pPr>
    </w:p>
    <w:p w:rsidR="00E75AA4" w:rsidRDefault="00E75AA4" w:rsidP="001E1E84">
      <w:pPr>
        <w:jc w:val="center"/>
        <w:rPr>
          <w:rFonts w:ascii="Times New Roman" w:hAnsi="Times New Roman" w:cs="Times New Roman"/>
          <w:b/>
          <w:sz w:val="24"/>
        </w:rPr>
      </w:pPr>
    </w:p>
    <w:p w:rsidR="00866649" w:rsidRDefault="00866649" w:rsidP="00534E11">
      <w:pPr>
        <w:rPr>
          <w:rFonts w:ascii="Times New Roman" w:hAnsi="Times New Roman" w:cs="Times New Roman"/>
          <w:sz w:val="24"/>
        </w:rPr>
      </w:pPr>
    </w:p>
    <w:p w:rsidR="00866649" w:rsidRDefault="00866649" w:rsidP="00866649">
      <w:pPr>
        <w:tabs>
          <w:tab w:val="left" w:pos="627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ab/>
      </w:r>
      <w:r w:rsidRPr="00866649">
        <w:rPr>
          <w:rFonts w:ascii="Times New Roman" w:hAnsi="Times New Roman" w:cs="Times New Roman"/>
          <w:sz w:val="20"/>
          <w:szCs w:val="20"/>
        </w:rPr>
        <w:t>Predsjednik Školskog odbora</w:t>
      </w:r>
    </w:p>
    <w:p w:rsidR="00534E11" w:rsidRPr="00866649" w:rsidRDefault="00866649" w:rsidP="00866649">
      <w:pPr>
        <w:tabs>
          <w:tab w:val="left" w:pos="627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Tomislav Šunjić, prof.</w:t>
      </w:r>
    </w:p>
    <w:sectPr w:rsidR="00534E11" w:rsidRPr="00866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11"/>
    <w:rsid w:val="001D39FF"/>
    <w:rsid w:val="001D73B7"/>
    <w:rsid w:val="001E1E84"/>
    <w:rsid w:val="002C44C7"/>
    <w:rsid w:val="00534E11"/>
    <w:rsid w:val="006958AF"/>
    <w:rsid w:val="006C1A02"/>
    <w:rsid w:val="00833BC5"/>
    <w:rsid w:val="00866649"/>
    <w:rsid w:val="008E64B5"/>
    <w:rsid w:val="00AA3B75"/>
    <w:rsid w:val="00B47E13"/>
    <w:rsid w:val="00DF49E4"/>
    <w:rsid w:val="00E30C50"/>
    <w:rsid w:val="00E7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D213"/>
  <w15:chartTrackingRefBased/>
  <w15:docId w15:val="{82F3DED5-11A4-4E87-967E-9650A615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11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34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C1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A02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Tajništvo-OŠ Cerna</dc:creator>
  <cp:keywords/>
  <dc:description/>
  <cp:lastModifiedBy>Tajništvo-OŠ Cerna</cp:lastModifiedBy>
  <cp:revision>6</cp:revision>
  <cp:lastPrinted>2023-12-12T12:39:00Z</cp:lastPrinted>
  <dcterms:created xsi:type="dcterms:W3CDTF">2023-12-12T12:25:00Z</dcterms:created>
  <dcterms:modified xsi:type="dcterms:W3CDTF">2023-12-13T10:05:00Z</dcterms:modified>
</cp:coreProperties>
</file>