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440" w:rsidRDefault="00E94440" w:rsidP="00E94440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  <w:r w:rsidRPr="00CB1849">
        <w:rPr>
          <w:rFonts w:ascii="Arial" w:hAnsi="Arial" w:cs="Arial"/>
          <w:bCs/>
        </w:rPr>
        <w:t>Naziv obveznika:</w:t>
      </w:r>
      <w:r w:rsidR="00CF1805">
        <w:rPr>
          <w:rFonts w:ascii="Arial" w:hAnsi="Arial" w:cs="Arial"/>
          <w:bCs/>
        </w:rPr>
        <w:t xml:space="preserve"> </w:t>
      </w:r>
      <w:r w:rsidRPr="00CB1849">
        <w:rPr>
          <w:rFonts w:ascii="Arial" w:hAnsi="Arial" w:cs="Arial"/>
          <w:bCs/>
        </w:rPr>
        <w:t>OSNOVNA</w:t>
      </w:r>
      <w:r w:rsidR="009B1696">
        <w:rPr>
          <w:rFonts w:ascii="Arial" w:hAnsi="Arial" w:cs="Arial"/>
          <w:bCs/>
        </w:rPr>
        <w:t xml:space="preserve"> ŠKOLA MATIJA ANTUN RELJKOVIĆ</w:t>
      </w:r>
      <w:r w:rsidR="008A2BDB">
        <w:rPr>
          <w:rFonts w:ascii="Arial" w:hAnsi="Arial" w:cs="Arial"/>
          <w:bCs/>
        </w:rPr>
        <w:t xml:space="preserve">, </w:t>
      </w:r>
      <w:r w:rsidRPr="00CB1849">
        <w:rPr>
          <w:rFonts w:ascii="Arial" w:hAnsi="Arial" w:cs="Arial"/>
          <w:bCs/>
        </w:rPr>
        <w:t>CERNA</w:t>
      </w:r>
    </w:p>
    <w:p w:rsidR="00E94440" w:rsidRDefault="00E94440" w:rsidP="00E9444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Broj RKP-a: 10250</w:t>
      </w:r>
    </w:p>
    <w:p w:rsidR="00E94440" w:rsidRDefault="00E94440" w:rsidP="00E9444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Sjedište obveznika: Cerna</w:t>
      </w:r>
    </w:p>
    <w:p w:rsidR="00E94440" w:rsidRDefault="00E94440" w:rsidP="00E9444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Matični broj: 03307794</w:t>
      </w:r>
    </w:p>
    <w:p w:rsidR="00E94440" w:rsidRDefault="00E94440" w:rsidP="00E9444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Adresa sjedišta obveznika: Šetalište dr. Franje Tuđmana 3</w:t>
      </w:r>
    </w:p>
    <w:p w:rsidR="00E94440" w:rsidRDefault="00E94440" w:rsidP="00E9444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OIB: 27935656585</w:t>
      </w:r>
    </w:p>
    <w:p w:rsidR="00E94440" w:rsidRDefault="00E94440" w:rsidP="00E9444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Razina: 31</w:t>
      </w:r>
    </w:p>
    <w:p w:rsidR="00E94440" w:rsidRDefault="00E94440" w:rsidP="00E9444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Razdjel: 000</w:t>
      </w:r>
    </w:p>
    <w:p w:rsidR="00E94440" w:rsidRDefault="00E94440" w:rsidP="00E9444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Šifra djelatnosti: prema NKD-u 2007: 8520</w:t>
      </w:r>
    </w:p>
    <w:p w:rsidR="00E94440" w:rsidRDefault="00E94440" w:rsidP="00E9444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Šifra županije: 16 Vukovarsko-srijemska županija</w:t>
      </w:r>
    </w:p>
    <w:p w:rsidR="00E94440" w:rsidRDefault="00E94440" w:rsidP="00E9444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Šifra općine: 044 Općina Cerna</w:t>
      </w:r>
    </w:p>
    <w:p w:rsidR="00E94440" w:rsidRDefault="00E94440" w:rsidP="00E94440">
      <w:pPr>
        <w:autoSpaceDE w:val="0"/>
        <w:autoSpaceDN w:val="0"/>
        <w:adjustRightInd w:val="0"/>
        <w:rPr>
          <w:rFonts w:ascii="Arial" w:hAnsi="Arial" w:cs="Arial"/>
        </w:rPr>
      </w:pPr>
    </w:p>
    <w:p w:rsidR="00E94440" w:rsidRDefault="008A2BDB" w:rsidP="00E9444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KLASA: 400-04/24-01/2</w:t>
      </w:r>
    </w:p>
    <w:p w:rsidR="00E94440" w:rsidRDefault="008A2BDB" w:rsidP="00E9444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URBROJ: 2188-18-01-24-</w:t>
      </w:r>
      <w:r w:rsidR="00E94440">
        <w:rPr>
          <w:rFonts w:ascii="Arial" w:hAnsi="Arial" w:cs="Arial"/>
        </w:rPr>
        <w:t>1</w:t>
      </w:r>
    </w:p>
    <w:p w:rsidR="003630A0" w:rsidRDefault="003630A0" w:rsidP="003630A0">
      <w:pPr>
        <w:autoSpaceDE w:val="0"/>
        <w:autoSpaceDN w:val="0"/>
        <w:adjustRightInd w:val="0"/>
        <w:rPr>
          <w:rFonts w:ascii="Arial" w:hAnsi="Arial" w:cs="Arial"/>
        </w:rPr>
      </w:pPr>
    </w:p>
    <w:p w:rsidR="003630A0" w:rsidRDefault="003630A0" w:rsidP="003630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BILJEŠKE UZ FINANCIJSKI IZVJEŠTAJ </w:t>
      </w:r>
    </w:p>
    <w:p w:rsidR="003630A0" w:rsidRDefault="003630A0" w:rsidP="003630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 RAZDOBLJE I. – </w:t>
      </w:r>
      <w:r w:rsidR="007E2B9F">
        <w:rPr>
          <w:rFonts w:ascii="Arial" w:hAnsi="Arial" w:cs="Arial"/>
          <w:b/>
          <w:bCs/>
        </w:rPr>
        <w:t>VI</w:t>
      </w:r>
      <w:r>
        <w:rPr>
          <w:rFonts w:ascii="Arial" w:hAnsi="Arial" w:cs="Arial"/>
          <w:b/>
          <w:bCs/>
        </w:rPr>
        <w:t>.</w:t>
      </w:r>
      <w:r w:rsidR="007E2B9F">
        <w:rPr>
          <w:rFonts w:ascii="Arial" w:hAnsi="Arial" w:cs="Arial"/>
          <w:b/>
          <w:bCs/>
        </w:rPr>
        <w:t>202</w:t>
      </w:r>
      <w:r w:rsidR="00E94440">
        <w:rPr>
          <w:rFonts w:ascii="Arial" w:hAnsi="Arial" w:cs="Arial"/>
          <w:b/>
          <w:bCs/>
        </w:rPr>
        <w:t>4</w:t>
      </w:r>
      <w:r w:rsidR="007E2B9F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GODINE</w:t>
      </w:r>
    </w:p>
    <w:p w:rsidR="002F3919" w:rsidRDefault="002F3919" w:rsidP="009071F3">
      <w:pPr>
        <w:pStyle w:val="Default"/>
        <w:jc w:val="both"/>
      </w:pPr>
    </w:p>
    <w:p w:rsidR="009071F3" w:rsidRPr="003B625B" w:rsidRDefault="00624022" w:rsidP="003B625B">
      <w:pPr>
        <w:pStyle w:val="Default"/>
        <w:jc w:val="both"/>
      </w:pPr>
      <w:r w:rsidRPr="003B625B">
        <w:t>Redovna djelatnost Osnovne škole Matija</w:t>
      </w:r>
      <w:r w:rsidR="008A2BDB">
        <w:t xml:space="preserve"> Antun </w:t>
      </w:r>
      <w:proofErr w:type="spellStart"/>
      <w:r w:rsidR="008A2BDB">
        <w:t>Reljković</w:t>
      </w:r>
      <w:proofErr w:type="spellEnd"/>
      <w:r w:rsidR="008A2BDB">
        <w:t xml:space="preserve">, </w:t>
      </w:r>
      <w:proofErr w:type="spellStart"/>
      <w:r w:rsidRPr="003B625B">
        <w:t>Cerna</w:t>
      </w:r>
      <w:proofErr w:type="spellEnd"/>
      <w:r w:rsidRPr="003B625B">
        <w:t xml:space="preserve"> je osnovnoškolsko redovno obrazovanje djece. U sastavu škole nalazi se i Područna</w:t>
      </w:r>
      <w:r w:rsidR="008A2BDB">
        <w:t xml:space="preserve"> </w:t>
      </w:r>
      <w:r w:rsidRPr="003B625B">
        <w:t xml:space="preserve">škola u </w:t>
      </w:r>
      <w:proofErr w:type="spellStart"/>
      <w:r w:rsidRPr="003B625B">
        <w:t>Šiškovcima</w:t>
      </w:r>
      <w:proofErr w:type="spellEnd"/>
      <w:r w:rsidRPr="003B625B">
        <w:t xml:space="preserve">. Nastava </w:t>
      </w:r>
      <w:r w:rsidR="009071F3" w:rsidRPr="003B625B">
        <w:t xml:space="preserve">u matičnoj školi organizirana je tako da učenici predmetne </w:t>
      </w:r>
      <w:r w:rsidR="00B11268">
        <w:t xml:space="preserve">nastave </w:t>
      </w:r>
      <w:r w:rsidR="00041BD9">
        <w:t xml:space="preserve">nastavu pohađaju </w:t>
      </w:r>
      <w:r w:rsidR="009071F3" w:rsidRPr="003B625B">
        <w:t>u</w:t>
      </w:r>
      <w:r w:rsidRPr="003B625B">
        <w:t xml:space="preserve"> jutarnjoj </w:t>
      </w:r>
      <w:r w:rsidR="00B11268">
        <w:t>smjeni a učenici razredne nastave u prijepodnevnim i</w:t>
      </w:r>
      <w:r w:rsidRPr="003B625B">
        <w:t xml:space="preserve"> poslijepodnevnoj smjeni, u petodnevnom radnom tjednu sa slobodnim subotama</w:t>
      </w:r>
      <w:r w:rsidR="009071F3" w:rsidRPr="003B625B">
        <w:t xml:space="preserve"> i nedjeljama</w:t>
      </w:r>
      <w:r w:rsidRPr="003B625B">
        <w:t>.</w:t>
      </w:r>
      <w:r w:rsidR="009B1696">
        <w:t xml:space="preserve"> Nastava u Područnoj školi</w:t>
      </w:r>
      <w:r w:rsidR="009071F3" w:rsidRPr="003B625B">
        <w:t xml:space="preserve"> organizirana je u jutarnjoj </w:t>
      </w:r>
      <w:r w:rsidR="00B11268">
        <w:t xml:space="preserve">i poslijepodnevnoj </w:t>
      </w:r>
      <w:r w:rsidR="009071F3" w:rsidRPr="003B625B">
        <w:t xml:space="preserve">smjeni, u petodnevnom radnom tjednu sa slobodnim subotama i nedjeljama. </w:t>
      </w:r>
    </w:p>
    <w:p w:rsidR="00624022" w:rsidRDefault="002F3919" w:rsidP="009071F3">
      <w:pPr>
        <w:pStyle w:val="Default"/>
        <w:ind w:left="-142" w:firstLine="142"/>
        <w:jc w:val="both"/>
      </w:pPr>
      <w:r>
        <w:t>Ravna</w:t>
      </w:r>
      <w:r w:rsidR="009B1696">
        <w:t xml:space="preserve">telj  OŠ Matija Antun </w:t>
      </w:r>
      <w:proofErr w:type="spellStart"/>
      <w:r w:rsidR="009B1696">
        <w:t>Reljković</w:t>
      </w:r>
      <w:proofErr w:type="spellEnd"/>
      <w:r w:rsidR="009B1696">
        <w:t xml:space="preserve">, </w:t>
      </w:r>
      <w:proofErr w:type="spellStart"/>
      <w:r w:rsidR="00041BD9">
        <w:t>Cerna</w:t>
      </w:r>
      <w:proofErr w:type="spellEnd"/>
      <w:r w:rsidR="00041BD9">
        <w:t xml:space="preserve"> je Mato Bošković</w:t>
      </w:r>
      <w:r>
        <w:t xml:space="preserve">. </w:t>
      </w:r>
    </w:p>
    <w:p w:rsidR="002F3919" w:rsidRDefault="002F3919" w:rsidP="009071F3">
      <w:pPr>
        <w:pStyle w:val="Default"/>
        <w:ind w:left="-142" w:firstLine="142"/>
        <w:jc w:val="both"/>
      </w:pPr>
      <w:r>
        <w:t>Financijski izvještaj i bilješke sastavila je Marija Buljević, voditelj računovodstva Škole.</w:t>
      </w:r>
    </w:p>
    <w:p w:rsidR="002F3919" w:rsidRPr="003B625B" w:rsidRDefault="002F3919" w:rsidP="009071F3">
      <w:pPr>
        <w:pStyle w:val="Default"/>
        <w:ind w:left="-142" w:firstLine="142"/>
        <w:jc w:val="both"/>
      </w:pPr>
    </w:p>
    <w:p w:rsidR="007B6C15" w:rsidRPr="003B625B" w:rsidRDefault="007B6C15" w:rsidP="002F3919">
      <w:pPr>
        <w:pStyle w:val="Odlomakpopisa1"/>
        <w:ind w:left="360"/>
        <w:jc w:val="both"/>
        <w:rPr>
          <w:b/>
          <w:sz w:val="24"/>
          <w:szCs w:val="20"/>
        </w:rPr>
      </w:pPr>
      <w:r w:rsidRPr="003B625B">
        <w:rPr>
          <w:b/>
          <w:sz w:val="24"/>
          <w:szCs w:val="20"/>
        </w:rPr>
        <w:t>Zakonske i druge podloge na kojima se zasniva program rada škole</w:t>
      </w:r>
    </w:p>
    <w:p w:rsidR="007B6C15" w:rsidRPr="003B625B" w:rsidRDefault="007B6C15" w:rsidP="009071F3">
      <w:pPr>
        <w:pStyle w:val="Odlomakpopisa1"/>
        <w:ind w:left="360"/>
        <w:jc w:val="both"/>
        <w:rPr>
          <w:b/>
          <w:sz w:val="24"/>
          <w:szCs w:val="20"/>
        </w:rPr>
      </w:pPr>
    </w:p>
    <w:p w:rsidR="00F96F5C" w:rsidRPr="00F96F5C" w:rsidRDefault="00F96F5C" w:rsidP="00F96F5C">
      <w:pPr>
        <w:pStyle w:val="Odlomakpopisa1"/>
        <w:numPr>
          <w:ilvl w:val="0"/>
          <w:numId w:val="3"/>
        </w:numPr>
        <w:jc w:val="both"/>
        <w:rPr>
          <w:sz w:val="24"/>
          <w:szCs w:val="24"/>
        </w:rPr>
      </w:pPr>
      <w:r w:rsidRPr="003B625B">
        <w:rPr>
          <w:sz w:val="24"/>
          <w:szCs w:val="24"/>
        </w:rPr>
        <w:t xml:space="preserve">Zakon o odgoju i obrazovanju u osnovnoj </w:t>
      </w:r>
      <w:r>
        <w:rPr>
          <w:sz w:val="24"/>
          <w:szCs w:val="24"/>
        </w:rPr>
        <w:t>i srednjoj školi (NN, br. 87/08, 86/09,92/10, 105/10, 90/11, 5/12, 16/12</w:t>
      </w:r>
      <w:r w:rsidRPr="003B625B">
        <w:rPr>
          <w:sz w:val="24"/>
          <w:szCs w:val="24"/>
        </w:rPr>
        <w:t>, 86/12</w:t>
      </w:r>
      <w:r>
        <w:rPr>
          <w:sz w:val="24"/>
          <w:szCs w:val="24"/>
        </w:rPr>
        <w:t xml:space="preserve">, 94/13, 152/14, </w:t>
      </w:r>
      <w:r w:rsidR="00441628">
        <w:rPr>
          <w:sz w:val="24"/>
          <w:szCs w:val="24"/>
        </w:rPr>
        <w:t>07/17,</w:t>
      </w:r>
      <w:r w:rsidRPr="00F96F5C">
        <w:rPr>
          <w:sz w:val="24"/>
          <w:szCs w:val="24"/>
        </w:rPr>
        <w:t xml:space="preserve"> 68/18</w:t>
      </w:r>
      <w:r w:rsidR="009A317A">
        <w:rPr>
          <w:sz w:val="24"/>
          <w:szCs w:val="24"/>
        </w:rPr>
        <w:t>,</w:t>
      </w:r>
      <w:r w:rsidR="00441628">
        <w:rPr>
          <w:sz w:val="24"/>
          <w:szCs w:val="24"/>
        </w:rPr>
        <w:t xml:space="preserve"> 98/19</w:t>
      </w:r>
      <w:r w:rsidR="009F1FD5">
        <w:rPr>
          <w:sz w:val="24"/>
          <w:szCs w:val="24"/>
        </w:rPr>
        <w:t xml:space="preserve">, </w:t>
      </w:r>
      <w:r w:rsidR="009A317A">
        <w:rPr>
          <w:sz w:val="24"/>
          <w:szCs w:val="24"/>
        </w:rPr>
        <w:t>64/20</w:t>
      </w:r>
      <w:r w:rsidR="009F1FD5">
        <w:rPr>
          <w:sz w:val="24"/>
          <w:szCs w:val="24"/>
        </w:rPr>
        <w:t>, 151/22</w:t>
      </w:r>
      <w:r w:rsidR="008A2BDB">
        <w:rPr>
          <w:sz w:val="24"/>
          <w:szCs w:val="24"/>
        </w:rPr>
        <w:t>, 155/23 i 156/23</w:t>
      </w:r>
      <w:r w:rsidRPr="00F96F5C">
        <w:rPr>
          <w:sz w:val="24"/>
          <w:szCs w:val="24"/>
        </w:rPr>
        <w:t>)</w:t>
      </w:r>
    </w:p>
    <w:p w:rsidR="00F96F5C" w:rsidRPr="00F96F5C" w:rsidRDefault="00F96F5C" w:rsidP="00F96F5C">
      <w:pPr>
        <w:pStyle w:val="Odlomakpopisa1"/>
        <w:numPr>
          <w:ilvl w:val="0"/>
          <w:numId w:val="3"/>
        </w:numPr>
        <w:jc w:val="both"/>
        <w:rPr>
          <w:sz w:val="24"/>
          <w:szCs w:val="24"/>
        </w:rPr>
      </w:pPr>
      <w:r w:rsidRPr="00F96F5C">
        <w:rPr>
          <w:sz w:val="24"/>
          <w:szCs w:val="24"/>
        </w:rPr>
        <w:t>Zakon o ustanovama  (NN, br. 76/93, 29/97, 47/99, 35/08</w:t>
      </w:r>
      <w:r w:rsidR="0009722F">
        <w:rPr>
          <w:sz w:val="24"/>
          <w:szCs w:val="24"/>
        </w:rPr>
        <w:t xml:space="preserve">, </w:t>
      </w:r>
      <w:r w:rsidR="00441628">
        <w:rPr>
          <w:sz w:val="24"/>
          <w:szCs w:val="24"/>
        </w:rPr>
        <w:t>127/19</w:t>
      </w:r>
      <w:r w:rsidR="0009722F">
        <w:rPr>
          <w:sz w:val="24"/>
          <w:szCs w:val="24"/>
        </w:rPr>
        <w:t xml:space="preserve"> I 151/22</w:t>
      </w:r>
      <w:r w:rsidRPr="00F96F5C">
        <w:rPr>
          <w:sz w:val="24"/>
          <w:szCs w:val="24"/>
        </w:rPr>
        <w:t>)</w:t>
      </w:r>
    </w:p>
    <w:p w:rsidR="00F96F5C" w:rsidRPr="00F96F5C" w:rsidRDefault="00F96F5C" w:rsidP="00F96F5C">
      <w:pPr>
        <w:pStyle w:val="Odlomakpopisa1"/>
        <w:numPr>
          <w:ilvl w:val="0"/>
          <w:numId w:val="3"/>
        </w:numPr>
        <w:jc w:val="both"/>
        <w:rPr>
          <w:sz w:val="24"/>
          <w:szCs w:val="24"/>
        </w:rPr>
      </w:pPr>
      <w:r w:rsidRPr="00F96F5C">
        <w:rPr>
          <w:sz w:val="24"/>
          <w:szCs w:val="24"/>
        </w:rPr>
        <w:t>Zakon o prorač</w:t>
      </w:r>
      <w:r w:rsidR="008A2BDB">
        <w:rPr>
          <w:sz w:val="24"/>
          <w:szCs w:val="24"/>
        </w:rPr>
        <w:t>unu (NN</w:t>
      </w:r>
      <w:r w:rsidR="00081726">
        <w:rPr>
          <w:sz w:val="24"/>
          <w:szCs w:val="24"/>
        </w:rPr>
        <w:t xml:space="preserve"> 144/21</w:t>
      </w:r>
      <w:r w:rsidRPr="00F96F5C">
        <w:rPr>
          <w:sz w:val="24"/>
          <w:szCs w:val="24"/>
        </w:rPr>
        <w:t>)</w:t>
      </w:r>
    </w:p>
    <w:p w:rsidR="00F96F5C" w:rsidRPr="00F96F5C" w:rsidRDefault="00F96F5C" w:rsidP="00F96F5C">
      <w:pPr>
        <w:pStyle w:val="Odlomakpopisa1"/>
        <w:numPr>
          <w:ilvl w:val="0"/>
          <w:numId w:val="3"/>
        </w:numPr>
        <w:jc w:val="both"/>
        <w:rPr>
          <w:sz w:val="24"/>
          <w:szCs w:val="24"/>
        </w:rPr>
      </w:pPr>
      <w:r w:rsidRPr="00F96F5C">
        <w:rPr>
          <w:sz w:val="24"/>
          <w:szCs w:val="24"/>
        </w:rPr>
        <w:t>Pravilnik o proračunskim klasif</w:t>
      </w:r>
      <w:r w:rsidR="008A2BDB">
        <w:rPr>
          <w:sz w:val="24"/>
          <w:szCs w:val="24"/>
        </w:rPr>
        <w:t>ikacijama (NN 04/2024</w:t>
      </w:r>
      <w:r w:rsidRPr="00F96F5C">
        <w:rPr>
          <w:sz w:val="24"/>
          <w:szCs w:val="24"/>
        </w:rPr>
        <w:t>)</w:t>
      </w:r>
    </w:p>
    <w:p w:rsidR="00F96F5C" w:rsidRDefault="00F96F5C" w:rsidP="00F96F5C">
      <w:pPr>
        <w:pStyle w:val="Odlomakpopisa1"/>
        <w:numPr>
          <w:ilvl w:val="0"/>
          <w:numId w:val="3"/>
        </w:numPr>
        <w:jc w:val="both"/>
        <w:rPr>
          <w:sz w:val="24"/>
          <w:szCs w:val="24"/>
        </w:rPr>
      </w:pPr>
      <w:r w:rsidRPr="00F96F5C">
        <w:rPr>
          <w:sz w:val="24"/>
          <w:szCs w:val="24"/>
        </w:rPr>
        <w:t>Pravilnik o proračunskom računovodstvu i računskom pla</w:t>
      </w:r>
      <w:r w:rsidR="008A2BDB">
        <w:rPr>
          <w:sz w:val="24"/>
          <w:szCs w:val="24"/>
        </w:rPr>
        <w:t>nu (NN 158/2023</w:t>
      </w:r>
      <w:r w:rsidRPr="00F96F5C">
        <w:rPr>
          <w:sz w:val="24"/>
          <w:szCs w:val="24"/>
        </w:rPr>
        <w:t xml:space="preserve">) </w:t>
      </w:r>
    </w:p>
    <w:p w:rsidR="0009722F" w:rsidRPr="00F96F5C" w:rsidRDefault="0009722F" w:rsidP="00F96F5C">
      <w:pPr>
        <w:pStyle w:val="Odlomakpopisa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Pravilnik o financijskom izvještavanju u proračunskom računovodstvu (NN, 37/22)</w:t>
      </w:r>
    </w:p>
    <w:p w:rsidR="00F96F5C" w:rsidRPr="003B625B" w:rsidRDefault="00F96F5C" w:rsidP="00F96F5C">
      <w:pPr>
        <w:pStyle w:val="Odlomakpopisa1"/>
        <w:numPr>
          <w:ilvl w:val="0"/>
          <w:numId w:val="3"/>
        </w:numPr>
        <w:jc w:val="both"/>
        <w:rPr>
          <w:sz w:val="24"/>
          <w:szCs w:val="24"/>
        </w:rPr>
      </w:pPr>
      <w:r w:rsidRPr="003B625B">
        <w:rPr>
          <w:sz w:val="24"/>
          <w:szCs w:val="24"/>
        </w:rPr>
        <w:t>Zakon o fiskalnoj odgovornost</w:t>
      </w:r>
      <w:r w:rsidR="00441628">
        <w:rPr>
          <w:sz w:val="24"/>
          <w:szCs w:val="24"/>
        </w:rPr>
        <w:t>i (NN, br. 139/10,</w:t>
      </w:r>
      <w:r w:rsidRPr="003B625B">
        <w:rPr>
          <w:sz w:val="24"/>
          <w:szCs w:val="24"/>
        </w:rPr>
        <w:t>19/14</w:t>
      </w:r>
      <w:r w:rsidR="008A2BDB">
        <w:rPr>
          <w:sz w:val="24"/>
          <w:szCs w:val="24"/>
        </w:rPr>
        <w:t xml:space="preserve">, </w:t>
      </w:r>
      <w:r w:rsidR="00441628">
        <w:rPr>
          <w:sz w:val="24"/>
          <w:szCs w:val="24"/>
        </w:rPr>
        <w:t>111/18</w:t>
      </w:r>
      <w:r w:rsidR="008A2BDB">
        <w:rPr>
          <w:sz w:val="24"/>
          <w:szCs w:val="24"/>
        </w:rPr>
        <w:t xml:space="preserve"> i 83/23</w:t>
      </w:r>
      <w:r w:rsidRPr="003B625B">
        <w:rPr>
          <w:sz w:val="24"/>
          <w:szCs w:val="24"/>
        </w:rPr>
        <w:t>)</w:t>
      </w:r>
    </w:p>
    <w:p w:rsidR="007B6C15" w:rsidRPr="003B625B" w:rsidRDefault="007B6C15" w:rsidP="009071F3">
      <w:pPr>
        <w:pStyle w:val="Odlomakpopisa1"/>
        <w:numPr>
          <w:ilvl w:val="0"/>
          <w:numId w:val="3"/>
        </w:numPr>
        <w:jc w:val="both"/>
        <w:rPr>
          <w:sz w:val="24"/>
          <w:szCs w:val="20"/>
        </w:rPr>
      </w:pPr>
      <w:r w:rsidRPr="003B625B">
        <w:rPr>
          <w:sz w:val="24"/>
          <w:szCs w:val="20"/>
        </w:rPr>
        <w:t xml:space="preserve">Godišnji izvedbeni odgojno – obrazovni plan i program rada za školsku godinu </w:t>
      </w:r>
      <w:r w:rsidR="00511314">
        <w:rPr>
          <w:sz w:val="24"/>
          <w:szCs w:val="20"/>
        </w:rPr>
        <w:t>2023./24</w:t>
      </w:r>
      <w:r w:rsidR="00421553">
        <w:rPr>
          <w:sz w:val="24"/>
          <w:szCs w:val="20"/>
        </w:rPr>
        <w:t>.</w:t>
      </w:r>
      <w:r w:rsidRPr="003B625B">
        <w:rPr>
          <w:sz w:val="24"/>
          <w:szCs w:val="20"/>
        </w:rPr>
        <w:t xml:space="preserve"> (skraćeno: GPP)</w:t>
      </w:r>
    </w:p>
    <w:p w:rsidR="007B6C15" w:rsidRPr="003B625B" w:rsidRDefault="007B6C15" w:rsidP="009071F3">
      <w:pPr>
        <w:pStyle w:val="Odlomakpopisa1"/>
        <w:numPr>
          <w:ilvl w:val="0"/>
          <w:numId w:val="3"/>
        </w:numPr>
        <w:jc w:val="both"/>
        <w:rPr>
          <w:sz w:val="24"/>
          <w:szCs w:val="20"/>
        </w:rPr>
      </w:pPr>
      <w:r w:rsidRPr="003B625B">
        <w:rPr>
          <w:sz w:val="24"/>
          <w:szCs w:val="20"/>
        </w:rPr>
        <w:lastRenderedPageBreak/>
        <w:t xml:space="preserve">Školski kurikulum Osnovne škole M. A. </w:t>
      </w:r>
      <w:proofErr w:type="spellStart"/>
      <w:r w:rsidRPr="003B625B">
        <w:rPr>
          <w:sz w:val="24"/>
          <w:szCs w:val="20"/>
        </w:rPr>
        <w:t>Reljkov</w:t>
      </w:r>
      <w:r w:rsidR="009B1696">
        <w:rPr>
          <w:sz w:val="24"/>
          <w:szCs w:val="20"/>
        </w:rPr>
        <w:t>ić</w:t>
      </w:r>
      <w:proofErr w:type="spellEnd"/>
      <w:r w:rsidR="009B1696">
        <w:rPr>
          <w:sz w:val="24"/>
          <w:szCs w:val="20"/>
        </w:rPr>
        <w:t xml:space="preserve">, </w:t>
      </w:r>
      <w:proofErr w:type="spellStart"/>
      <w:r w:rsidRPr="003B625B">
        <w:rPr>
          <w:sz w:val="24"/>
          <w:szCs w:val="20"/>
        </w:rPr>
        <w:t>Cerna</w:t>
      </w:r>
      <w:proofErr w:type="spellEnd"/>
      <w:r w:rsidRPr="003B625B">
        <w:rPr>
          <w:sz w:val="24"/>
          <w:szCs w:val="20"/>
        </w:rPr>
        <w:t xml:space="preserve">., nastavne i izvannastavne aktivnosti za školsku godinu </w:t>
      </w:r>
      <w:r w:rsidR="00511314">
        <w:rPr>
          <w:sz w:val="24"/>
          <w:szCs w:val="20"/>
        </w:rPr>
        <w:t>2023./24.</w:t>
      </w:r>
      <w:r w:rsidRPr="003B625B">
        <w:rPr>
          <w:sz w:val="24"/>
          <w:szCs w:val="20"/>
        </w:rPr>
        <w:t>.</w:t>
      </w:r>
    </w:p>
    <w:p w:rsidR="009071F3" w:rsidRDefault="009071F3" w:rsidP="00782DD9">
      <w:pPr>
        <w:pStyle w:val="Odlomakpopisa1"/>
        <w:numPr>
          <w:ilvl w:val="0"/>
          <w:numId w:val="3"/>
        </w:numPr>
        <w:jc w:val="both"/>
        <w:rPr>
          <w:sz w:val="24"/>
          <w:szCs w:val="20"/>
        </w:rPr>
      </w:pPr>
      <w:r w:rsidRPr="001E2727">
        <w:rPr>
          <w:sz w:val="24"/>
          <w:szCs w:val="20"/>
        </w:rPr>
        <w:t>Okružnica o sastavljanju, konsolidaciji i predaji financijskih izvještaja proračuna, proračunskih i izvanproračunskih korisnika državnog proračunate proračunskih i izvanproračunskih korisnika proračuna jedinica lokalne i područne (regionalne</w:t>
      </w:r>
      <w:r w:rsidR="00FD0769" w:rsidRPr="001E2727">
        <w:rPr>
          <w:sz w:val="24"/>
          <w:szCs w:val="20"/>
        </w:rPr>
        <w:t>) samouprave za razdoblje od 1.01</w:t>
      </w:r>
      <w:r w:rsidRPr="001E2727">
        <w:rPr>
          <w:sz w:val="24"/>
          <w:szCs w:val="20"/>
        </w:rPr>
        <w:t xml:space="preserve"> do 3</w:t>
      </w:r>
      <w:r w:rsidR="0009722F">
        <w:rPr>
          <w:sz w:val="24"/>
          <w:szCs w:val="20"/>
        </w:rPr>
        <w:t>0</w:t>
      </w:r>
      <w:r w:rsidRPr="001E2727">
        <w:rPr>
          <w:sz w:val="24"/>
          <w:szCs w:val="20"/>
        </w:rPr>
        <w:t>.</w:t>
      </w:r>
      <w:r w:rsidR="0009722F">
        <w:rPr>
          <w:sz w:val="24"/>
          <w:szCs w:val="20"/>
        </w:rPr>
        <w:t>06</w:t>
      </w:r>
      <w:r w:rsidR="00FD0769" w:rsidRPr="001E2727">
        <w:rPr>
          <w:sz w:val="24"/>
          <w:szCs w:val="20"/>
        </w:rPr>
        <w:t>.20</w:t>
      </w:r>
      <w:r w:rsidR="00041BD9">
        <w:rPr>
          <w:sz w:val="24"/>
          <w:szCs w:val="20"/>
        </w:rPr>
        <w:t>2</w:t>
      </w:r>
      <w:r w:rsidR="00286A78">
        <w:rPr>
          <w:sz w:val="24"/>
          <w:szCs w:val="20"/>
        </w:rPr>
        <w:t>4</w:t>
      </w:r>
      <w:r w:rsidR="00FD0769" w:rsidRPr="001E2727">
        <w:rPr>
          <w:sz w:val="24"/>
          <w:szCs w:val="20"/>
        </w:rPr>
        <w:t xml:space="preserve">. godine od </w:t>
      </w:r>
      <w:r w:rsidR="0009722F">
        <w:rPr>
          <w:sz w:val="24"/>
          <w:szCs w:val="20"/>
        </w:rPr>
        <w:t>0</w:t>
      </w:r>
      <w:r w:rsidR="00286A78">
        <w:rPr>
          <w:sz w:val="24"/>
          <w:szCs w:val="20"/>
        </w:rPr>
        <w:t>1</w:t>
      </w:r>
      <w:r w:rsidR="007A2297">
        <w:rPr>
          <w:sz w:val="24"/>
          <w:szCs w:val="20"/>
        </w:rPr>
        <w:t>.0</w:t>
      </w:r>
      <w:r w:rsidR="0009722F">
        <w:rPr>
          <w:sz w:val="24"/>
          <w:szCs w:val="20"/>
        </w:rPr>
        <w:t>7</w:t>
      </w:r>
      <w:r w:rsidR="007A2297">
        <w:rPr>
          <w:sz w:val="24"/>
          <w:szCs w:val="20"/>
        </w:rPr>
        <w:t>.202</w:t>
      </w:r>
      <w:r w:rsidR="00286A78">
        <w:rPr>
          <w:sz w:val="24"/>
          <w:szCs w:val="20"/>
        </w:rPr>
        <w:t>4</w:t>
      </w:r>
      <w:r w:rsidR="00FD0769" w:rsidRPr="001E2727">
        <w:rPr>
          <w:sz w:val="24"/>
          <w:szCs w:val="20"/>
        </w:rPr>
        <w:t>.,</w:t>
      </w:r>
      <w:r w:rsidRPr="001E2727">
        <w:rPr>
          <w:sz w:val="24"/>
          <w:szCs w:val="20"/>
        </w:rPr>
        <w:t xml:space="preserve">  Ministarstvo financija, Državna riznica, Klasa 400-02/</w:t>
      </w:r>
      <w:r w:rsidR="00421553">
        <w:rPr>
          <w:sz w:val="24"/>
          <w:szCs w:val="20"/>
        </w:rPr>
        <w:t>2</w:t>
      </w:r>
      <w:r w:rsidR="00286A78">
        <w:rPr>
          <w:sz w:val="24"/>
          <w:szCs w:val="20"/>
        </w:rPr>
        <w:t>4</w:t>
      </w:r>
      <w:r w:rsidRPr="001E2727">
        <w:rPr>
          <w:sz w:val="24"/>
          <w:szCs w:val="20"/>
        </w:rPr>
        <w:t>-01/</w:t>
      </w:r>
      <w:r w:rsidR="00286A78">
        <w:rPr>
          <w:sz w:val="24"/>
          <w:szCs w:val="20"/>
        </w:rPr>
        <w:t>19</w:t>
      </w:r>
      <w:r w:rsidRPr="001E2727">
        <w:rPr>
          <w:sz w:val="24"/>
          <w:szCs w:val="20"/>
        </w:rPr>
        <w:t xml:space="preserve">,   </w:t>
      </w:r>
      <w:proofErr w:type="spellStart"/>
      <w:r w:rsidRPr="001E2727">
        <w:rPr>
          <w:sz w:val="24"/>
          <w:szCs w:val="20"/>
        </w:rPr>
        <w:t>Urbroj</w:t>
      </w:r>
      <w:proofErr w:type="spellEnd"/>
      <w:r w:rsidRPr="001E2727">
        <w:rPr>
          <w:sz w:val="24"/>
          <w:szCs w:val="20"/>
        </w:rPr>
        <w:t>: 513-05-03-</w:t>
      </w:r>
      <w:r w:rsidR="001E2727">
        <w:rPr>
          <w:sz w:val="24"/>
          <w:szCs w:val="20"/>
        </w:rPr>
        <w:t>2</w:t>
      </w:r>
      <w:r w:rsidR="00286A78">
        <w:rPr>
          <w:sz w:val="24"/>
          <w:szCs w:val="20"/>
        </w:rPr>
        <w:t>4</w:t>
      </w:r>
      <w:r w:rsidRPr="001E2727">
        <w:rPr>
          <w:sz w:val="24"/>
          <w:szCs w:val="20"/>
        </w:rPr>
        <w:t>-</w:t>
      </w:r>
      <w:r w:rsidR="0009722F">
        <w:rPr>
          <w:sz w:val="24"/>
          <w:szCs w:val="20"/>
        </w:rPr>
        <w:t>2</w:t>
      </w:r>
      <w:r w:rsidR="00421553">
        <w:rPr>
          <w:sz w:val="24"/>
          <w:szCs w:val="20"/>
        </w:rPr>
        <w:t>.</w:t>
      </w:r>
    </w:p>
    <w:p w:rsidR="00624022" w:rsidRPr="00466EF0" w:rsidRDefault="00624022" w:rsidP="00466EF0">
      <w:pPr>
        <w:pStyle w:val="Odlomakpopisa1"/>
        <w:autoSpaceDE w:val="0"/>
        <w:autoSpaceDN w:val="0"/>
        <w:adjustRightInd w:val="0"/>
        <w:jc w:val="both"/>
        <w:rPr>
          <w:b/>
        </w:rPr>
      </w:pPr>
    </w:p>
    <w:p w:rsidR="0040465C" w:rsidRDefault="003630A0" w:rsidP="0020514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3A713A" w:rsidRDefault="003A713A" w:rsidP="0020514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630A0" w:rsidRDefault="00081708" w:rsidP="00081708">
      <w:pPr>
        <w:pStyle w:val="Bezproreda"/>
        <w:tabs>
          <w:tab w:val="left" w:pos="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Bilješke uz izvještaj o prihodima i rashodima, primicima i izdacima-Obrazac PR-RAS</w:t>
      </w:r>
      <w:r w:rsidR="003630A0">
        <w:rPr>
          <w:rFonts w:ascii="Arial" w:hAnsi="Arial" w:cs="Arial"/>
          <w:b/>
          <w:sz w:val="24"/>
          <w:szCs w:val="24"/>
        </w:rPr>
        <w:tab/>
      </w:r>
    </w:p>
    <w:p w:rsidR="006E7C6D" w:rsidRDefault="006E7C6D" w:rsidP="003630A0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3630A0" w:rsidRDefault="003630A0" w:rsidP="003630A0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Bilješka broj </w:t>
      </w:r>
      <w:r w:rsidR="004B6BFA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</w:p>
    <w:p w:rsidR="00782797" w:rsidRDefault="00782797" w:rsidP="003630A0">
      <w:pPr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W w:w="13120" w:type="dxa"/>
        <w:tblLook w:val="04A0" w:firstRow="1" w:lastRow="0" w:firstColumn="1" w:lastColumn="0" w:noHBand="0" w:noVBand="1"/>
      </w:tblPr>
      <w:tblGrid>
        <w:gridCol w:w="1400"/>
        <w:gridCol w:w="6380"/>
        <w:gridCol w:w="1340"/>
        <w:gridCol w:w="1540"/>
        <w:gridCol w:w="1540"/>
        <w:gridCol w:w="920"/>
      </w:tblGrid>
      <w:tr w:rsidR="00E94440" w:rsidRPr="007E2B9F" w:rsidTr="007E2B9F">
        <w:trPr>
          <w:trHeight w:val="480"/>
        </w:trPr>
        <w:tc>
          <w:tcPr>
            <w:tcW w:w="140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94440" w:rsidRDefault="00E94440" w:rsidP="00E944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636</w:t>
            </w:r>
          </w:p>
        </w:tc>
        <w:tc>
          <w:tcPr>
            <w:tcW w:w="63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94440" w:rsidRDefault="00E94440" w:rsidP="00E944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Pomoći proračunskim korisnicima iz proračuna koji im nije nadležan (šifre 6361+6362)</w:t>
            </w:r>
          </w:p>
        </w:tc>
        <w:tc>
          <w:tcPr>
            <w:tcW w:w="1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94440" w:rsidRDefault="00E94440" w:rsidP="00E94440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636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94440" w:rsidRDefault="00E94440" w:rsidP="00E94440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490.566,51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94440" w:rsidRDefault="00E94440" w:rsidP="00E94440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653.494,71</w:t>
            </w:r>
          </w:p>
        </w:tc>
        <w:tc>
          <w:tcPr>
            <w:tcW w:w="9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94440" w:rsidRDefault="00E94440" w:rsidP="00E944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133,2</w:t>
            </w:r>
          </w:p>
        </w:tc>
      </w:tr>
      <w:tr w:rsidR="00E94440" w:rsidRPr="007E2B9F" w:rsidTr="007E2B9F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94440" w:rsidRDefault="00E94440" w:rsidP="00E944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6361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94440" w:rsidRDefault="00E94440" w:rsidP="00E944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Tekuće pomoći proračunskim korisnicima iz proračuna koji im nije nadležan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94440" w:rsidRDefault="00E94440" w:rsidP="00E94440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6361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94440" w:rsidRDefault="00E94440" w:rsidP="00E944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490.566,51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94440" w:rsidRDefault="00E94440" w:rsidP="00E944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653.494,71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94440" w:rsidRDefault="00E94440" w:rsidP="00E944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133,2</w:t>
            </w:r>
          </w:p>
        </w:tc>
      </w:tr>
      <w:tr w:rsidR="00E94440" w:rsidRPr="007E2B9F" w:rsidTr="00D676A0">
        <w:trPr>
          <w:trHeight w:val="480"/>
        </w:trPr>
        <w:tc>
          <w:tcPr>
            <w:tcW w:w="140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94440" w:rsidRDefault="00E94440" w:rsidP="00E944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6362</w:t>
            </w:r>
          </w:p>
        </w:tc>
        <w:tc>
          <w:tcPr>
            <w:tcW w:w="63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94440" w:rsidRDefault="00E94440" w:rsidP="00E944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Kapitalne pomoći proračunskim korisnicima iz proračuna koji im nije nadležan</w:t>
            </w:r>
          </w:p>
        </w:tc>
        <w:tc>
          <w:tcPr>
            <w:tcW w:w="1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94440" w:rsidRDefault="00E94440" w:rsidP="00E94440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6362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94440" w:rsidRDefault="00E94440" w:rsidP="00E944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94440" w:rsidRDefault="00E94440" w:rsidP="00E944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94440" w:rsidRDefault="00E94440" w:rsidP="00E944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3B10FF" w:rsidRDefault="003B10FF" w:rsidP="00B2013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71C09" w:rsidRPr="00B20131" w:rsidRDefault="00162D6E" w:rsidP="00B2013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Povećanje pr</w:t>
      </w:r>
      <w:r w:rsidR="009B1696">
        <w:rPr>
          <w:rFonts w:ascii="Arial" w:hAnsi="Arial" w:cs="Arial"/>
        </w:rPr>
        <w:t>ihoda od Ministarstva znanosti,</w:t>
      </w:r>
      <w:r>
        <w:rPr>
          <w:rFonts w:ascii="Arial" w:hAnsi="Arial" w:cs="Arial"/>
        </w:rPr>
        <w:t xml:space="preserve"> obrazovanja</w:t>
      </w:r>
      <w:r w:rsidR="009B1696">
        <w:rPr>
          <w:rFonts w:ascii="Arial" w:hAnsi="Arial" w:cs="Arial"/>
        </w:rPr>
        <w:t xml:space="preserve"> i mladih</w:t>
      </w:r>
      <w:r>
        <w:rPr>
          <w:rFonts w:ascii="Arial" w:hAnsi="Arial" w:cs="Arial"/>
        </w:rPr>
        <w:t xml:space="preserve"> odnosi se na povećanje </w:t>
      </w:r>
      <w:r w:rsidR="00E94440">
        <w:rPr>
          <w:rFonts w:ascii="Arial" w:hAnsi="Arial" w:cs="Arial"/>
        </w:rPr>
        <w:t>koja su nastala primjenom novog zakona o plaćama.</w:t>
      </w:r>
    </w:p>
    <w:p w:rsidR="00471C09" w:rsidRDefault="00471C09" w:rsidP="003630A0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782797" w:rsidRDefault="00782797" w:rsidP="003630A0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782797" w:rsidRDefault="00782797" w:rsidP="003630A0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Bilješka broj </w:t>
      </w:r>
      <w:r w:rsidR="000365D6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</w:t>
      </w:r>
    </w:p>
    <w:p w:rsidR="003A713A" w:rsidRDefault="003A713A" w:rsidP="003630A0">
      <w:pPr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W w:w="12620" w:type="dxa"/>
        <w:tblInd w:w="-5" w:type="dxa"/>
        <w:tblLook w:val="04A0" w:firstRow="1" w:lastRow="0" w:firstColumn="1" w:lastColumn="0" w:noHBand="0" w:noVBand="1"/>
      </w:tblPr>
      <w:tblGrid>
        <w:gridCol w:w="783"/>
        <w:gridCol w:w="7420"/>
        <w:gridCol w:w="617"/>
        <w:gridCol w:w="1540"/>
        <w:gridCol w:w="1540"/>
        <w:gridCol w:w="720"/>
      </w:tblGrid>
      <w:tr w:rsidR="00E94440" w:rsidRPr="003A713A" w:rsidTr="00162D6E">
        <w:trPr>
          <w:trHeight w:val="240"/>
        </w:trPr>
        <w:tc>
          <w:tcPr>
            <w:tcW w:w="78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94440" w:rsidRDefault="00E94440" w:rsidP="00E944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6361</w:t>
            </w:r>
          </w:p>
        </w:tc>
        <w:tc>
          <w:tcPr>
            <w:tcW w:w="74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94440" w:rsidRDefault="00E94440" w:rsidP="00E944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Tekuće pomoći proračunskim korisnicima iz proračuna koji im nije nadležan</w:t>
            </w:r>
          </w:p>
        </w:tc>
        <w:tc>
          <w:tcPr>
            <w:tcW w:w="61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94440" w:rsidRDefault="00E94440" w:rsidP="00E94440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6361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94440" w:rsidRDefault="00E94440" w:rsidP="00E944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490.566,51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94440" w:rsidRDefault="00E94440" w:rsidP="00E944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653.494,71</w:t>
            </w:r>
          </w:p>
        </w:tc>
        <w:tc>
          <w:tcPr>
            <w:tcW w:w="7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94440" w:rsidRDefault="00E94440" w:rsidP="00E944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133,2</w:t>
            </w:r>
          </w:p>
        </w:tc>
      </w:tr>
      <w:tr w:rsidR="00E94440" w:rsidRPr="007B36FA" w:rsidTr="007B36FA">
        <w:trPr>
          <w:trHeight w:val="240"/>
        </w:trPr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94440" w:rsidRDefault="00E94440" w:rsidP="00E944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94440" w:rsidRDefault="00E94440" w:rsidP="00E944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Tekuće donacije (šifre 3811 do 3813)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94440" w:rsidRDefault="00E94440" w:rsidP="00E94440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94440" w:rsidRDefault="00E94440" w:rsidP="00E94440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569,57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94440" w:rsidRDefault="00E94440" w:rsidP="00E94440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586,13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94440" w:rsidRDefault="00E94440" w:rsidP="00E944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102,9</w:t>
            </w:r>
          </w:p>
        </w:tc>
      </w:tr>
      <w:tr w:rsidR="00E94440" w:rsidRPr="007B36FA" w:rsidTr="007B36FA">
        <w:trPr>
          <w:trHeight w:val="240"/>
        </w:trPr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94440" w:rsidRDefault="00E94440" w:rsidP="00E944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3811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94440" w:rsidRDefault="00E94440" w:rsidP="00E944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Tekuće donacije u novcu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94440" w:rsidRDefault="00E94440" w:rsidP="00E94440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3811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94440" w:rsidRDefault="00E94440" w:rsidP="00E944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94440" w:rsidRDefault="00E94440" w:rsidP="00E944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94440" w:rsidRDefault="00E94440" w:rsidP="00E944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94440" w:rsidRPr="007B36FA" w:rsidTr="007B36FA">
        <w:trPr>
          <w:trHeight w:val="240"/>
        </w:trPr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94440" w:rsidRDefault="00E94440" w:rsidP="00E944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3812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94440" w:rsidRDefault="00E94440" w:rsidP="00E944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Tekuće donacije u naravi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94440" w:rsidRDefault="00E94440" w:rsidP="00E94440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3812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94440" w:rsidRDefault="00E94440" w:rsidP="00E944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569,57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94440" w:rsidRDefault="00E94440" w:rsidP="00E944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586,13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94440" w:rsidRDefault="00E94440" w:rsidP="00E944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102,9</w:t>
            </w:r>
          </w:p>
        </w:tc>
      </w:tr>
    </w:tbl>
    <w:p w:rsidR="00CF625D" w:rsidRDefault="00CF625D" w:rsidP="003630A0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8E6E19" w:rsidRPr="00EA276C" w:rsidRDefault="00E94440" w:rsidP="00EA276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02E62">
        <w:rPr>
          <w:rFonts w:ascii="Arial" w:hAnsi="Arial" w:cs="Arial"/>
        </w:rPr>
        <w:t>rihodi za nabavku menstrualnih potrepština za učenice koji su financirani od strane Ministarstva rada, mirovinskog sustava, obitelji i socijalne politike</w:t>
      </w:r>
      <w:r>
        <w:rPr>
          <w:rFonts w:ascii="Arial" w:hAnsi="Arial" w:cs="Arial"/>
        </w:rPr>
        <w:t xml:space="preserve"> evidentirani su na računu 6361</w:t>
      </w:r>
      <w:r w:rsidR="0012475C">
        <w:rPr>
          <w:rFonts w:ascii="Arial" w:hAnsi="Arial" w:cs="Arial"/>
        </w:rPr>
        <w:t xml:space="preserve"> a rashodi su knjiženi na 3812 </w:t>
      </w:r>
      <w:r w:rsidR="00502E62">
        <w:rPr>
          <w:rFonts w:ascii="Arial" w:hAnsi="Arial" w:cs="Arial"/>
        </w:rPr>
        <w:t>.</w:t>
      </w:r>
    </w:p>
    <w:p w:rsidR="00CF625D" w:rsidRPr="00CF625D" w:rsidRDefault="00CF625D" w:rsidP="003630A0">
      <w:pPr>
        <w:autoSpaceDE w:val="0"/>
        <w:autoSpaceDN w:val="0"/>
        <w:adjustRightInd w:val="0"/>
        <w:rPr>
          <w:rFonts w:ascii="Arial" w:hAnsi="Arial" w:cs="Arial"/>
        </w:rPr>
      </w:pPr>
    </w:p>
    <w:p w:rsidR="003A713A" w:rsidRDefault="003A713A" w:rsidP="003630A0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8E6E19" w:rsidRPr="008E6E19" w:rsidRDefault="00B11268" w:rsidP="003630A0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Bilješka broj </w:t>
      </w:r>
      <w:r w:rsidR="000365D6">
        <w:rPr>
          <w:rFonts w:ascii="Arial" w:hAnsi="Arial" w:cs="Arial"/>
          <w:b/>
        </w:rPr>
        <w:t>3</w:t>
      </w:r>
      <w:r w:rsidR="008E6E19" w:rsidRPr="008E6E19">
        <w:rPr>
          <w:rFonts w:ascii="Arial" w:hAnsi="Arial" w:cs="Arial"/>
          <w:b/>
        </w:rPr>
        <w:t>.</w:t>
      </w:r>
    </w:p>
    <w:p w:rsidR="003630A0" w:rsidRDefault="003630A0" w:rsidP="003630A0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3460" w:type="dxa"/>
        <w:tblLook w:val="04A0" w:firstRow="1" w:lastRow="0" w:firstColumn="1" w:lastColumn="0" w:noHBand="0" w:noVBand="1"/>
      </w:tblPr>
      <w:tblGrid>
        <w:gridCol w:w="1440"/>
        <w:gridCol w:w="6560"/>
        <w:gridCol w:w="1360"/>
        <w:gridCol w:w="1580"/>
        <w:gridCol w:w="1580"/>
        <w:gridCol w:w="940"/>
      </w:tblGrid>
      <w:tr w:rsidR="00E94440" w:rsidRPr="00E94440" w:rsidTr="00E94440">
        <w:trPr>
          <w:trHeight w:val="240"/>
        </w:trPr>
        <w:tc>
          <w:tcPr>
            <w:tcW w:w="14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94440" w:rsidRPr="00E94440" w:rsidRDefault="00E94440" w:rsidP="00E944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4440">
              <w:rPr>
                <w:rFonts w:ascii="Arial" w:hAnsi="Arial" w:cs="Arial"/>
                <w:color w:val="000000"/>
                <w:sz w:val="18"/>
                <w:szCs w:val="18"/>
              </w:rPr>
              <w:t>639</w:t>
            </w:r>
          </w:p>
        </w:tc>
        <w:tc>
          <w:tcPr>
            <w:tcW w:w="65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94440" w:rsidRPr="00E94440" w:rsidRDefault="00E94440" w:rsidP="00E944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4440">
              <w:rPr>
                <w:rFonts w:ascii="Arial" w:hAnsi="Arial" w:cs="Arial"/>
                <w:color w:val="000000"/>
                <w:sz w:val="18"/>
                <w:szCs w:val="18"/>
              </w:rPr>
              <w:t>Prijenosi između proračunskih korisnika istog proračuna (šifre 6391 do 6394)</w:t>
            </w:r>
          </w:p>
        </w:tc>
        <w:tc>
          <w:tcPr>
            <w:tcW w:w="13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94440" w:rsidRPr="00E94440" w:rsidRDefault="00E94440" w:rsidP="00E94440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E94440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639</w:t>
            </w:r>
          </w:p>
        </w:tc>
        <w:tc>
          <w:tcPr>
            <w:tcW w:w="15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94440" w:rsidRPr="00E94440" w:rsidRDefault="00E94440" w:rsidP="00E94440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E94440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94440" w:rsidRPr="00E94440" w:rsidRDefault="00E94440" w:rsidP="00E94440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E94440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36.895,03</w:t>
            </w:r>
          </w:p>
        </w:tc>
        <w:tc>
          <w:tcPr>
            <w:tcW w:w="9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94440" w:rsidRPr="00E94440" w:rsidRDefault="00E94440" w:rsidP="00E944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44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94440" w:rsidRPr="00E94440" w:rsidTr="00E94440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94440" w:rsidRPr="00E94440" w:rsidRDefault="00E94440" w:rsidP="00E944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4440">
              <w:rPr>
                <w:rFonts w:ascii="Arial" w:hAnsi="Arial" w:cs="Arial"/>
                <w:color w:val="000000"/>
                <w:sz w:val="18"/>
                <w:szCs w:val="18"/>
              </w:rPr>
              <w:t>6391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94440" w:rsidRPr="00E94440" w:rsidRDefault="00E94440" w:rsidP="00E944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4440">
              <w:rPr>
                <w:rFonts w:ascii="Arial" w:hAnsi="Arial" w:cs="Arial"/>
                <w:color w:val="000000"/>
                <w:sz w:val="18"/>
                <w:szCs w:val="18"/>
              </w:rPr>
              <w:t>Tekući prijenosi između proračunskih korisnika istog proračuna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94440" w:rsidRPr="00E94440" w:rsidRDefault="00E94440" w:rsidP="00E94440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E94440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6391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94440" w:rsidRPr="00E94440" w:rsidRDefault="00E94440" w:rsidP="00E944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44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94440" w:rsidRPr="00E94440" w:rsidRDefault="00E94440" w:rsidP="00E944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440">
              <w:rPr>
                <w:rFonts w:ascii="Arial" w:hAnsi="Arial" w:cs="Arial"/>
                <w:color w:val="000000"/>
                <w:sz w:val="16"/>
                <w:szCs w:val="16"/>
              </w:rPr>
              <w:t>4.356,46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94440" w:rsidRPr="00E94440" w:rsidRDefault="00E94440" w:rsidP="00E944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44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94440" w:rsidRPr="00E94440" w:rsidTr="00E94440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94440" w:rsidRPr="00E94440" w:rsidRDefault="00E94440" w:rsidP="00E944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4440">
              <w:rPr>
                <w:rFonts w:ascii="Arial" w:hAnsi="Arial" w:cs="Arial"/>
                <w:color w:val="000000"/>
                <w:sz w:val="18"/>
                <w:szCs w:val="18"/>
              </w:rPr>
              <w:t>6392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94440" w:rsidRPr="00E94440" w:rsidRDefault="00E94440" w:rsidP="00E944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4440">
              <w:rPr>
                <w:rFonts w:ascii="Arial" w:hAnsi="Arial" w:cs="Arial"/>
                <w:color w:val="000000"/>
                <w:sz w:val="18"/>
                <w:szCs w:val="18"/>
              </w:rPr>
              <w:t>Kapitalni prijenosi između proračunskih korisnika istog proračuna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94440" w:rsidRPr="00E94440" w:rsidRDefault="00E94440" w:rsidP="00E94440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E94440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6392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94440" w:rsidRPr="00E94440" w:rsidRDefault="00E94440" w:rsidP="00E944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44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94440" w:rsidRPr="00E94440" w:rsidRDefault="00E94440" w:rsidP="00E944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440">
              <w:rPr>
                <w:rFonts w:ascii="Arial" w:hAnsi="Arial" w:cs="Arial"/>
                <w:color w:val="000000"/>
                <w:sz w:val="16"/>
                <w:szCs w:val="16"/>
              </w:rPr>
              <w:t>1.177,80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94440" w:rsidRPr="00E94440" w:rsidRDefault="00E94440" w:rsidP="00E944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44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94440" w:rsidRPr="00E94440" w:rsidTr="00E94440">
        <w:trPr>
          <w:trHeight w:val="456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94440" w:rsidRPr="00E94440" w:rsidRDefault="00E94440" w:rsidP="00E944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44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6393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94440" w:rsidRPr="00E94440" w:rsidRDefault="00E94440" w:rsidP="00E944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4440">
              <w:rPr>
                <w:rFonts w:ascii="Arial" w:hAnsi="Arial" w:cs="Arial"/>
                <w:color w:val="000000"/>
                <w:sz w:val="18"/>
                <w:szCs w:val="18"/>
              </w:rPr>
              <w:t>Tekući prijenosi između proračunskih korisnika istog proračuna temeljem prijenosa EU sredstava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94440" w:rsidRPr="00E94440" w:rsidRDefault="00E94440" w:rsidP="00E94440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E94440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6393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94440" w:rsidRPr="00E94440" w:rsidRDefault="00E94440" w:rsidP="00E944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44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94440" w:rsidRPr="00E94440" w:rsidRDefault="00E94440" w:rsidP="00E944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440">
              <w:rPr>
                <w:rFonts w:ascii="Arial" w:hAnsi="Arial" w:cs="Arial"/>
                <w:color w:val="000000"/>
                <w:sz w:val="16"/>
                <w:szCs w:val="16"/>
              </w:rPr>
              <w:t>24.686,60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94440" w:rsidRPr="00E94440" w:rsidRDefault="00E94440" w:rsidP="00E944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44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94440" w:rsidRPr="00E94440" w:rsidTr="00E94440">
        <w:trPr>
          <w:trHeight w:val="456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94440" w:rsidRPr="00E94440" w:rsidRDefault="00E94440" w:rsidP="00E944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4440">
              <w:rPr>
                <w:rFonts w:ascii="Arial" w:hAnsi="Arial" w:cs="Arial"/>
                <w:color w:val="000000"/>
                <w:sz w:val="18"/>
                <w:szCs w:val="18"/>
              </w:rPr>
              <w:t>6394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94440" w:rsidRPr="00E94440" w:rsidRDefault="00E94440" w:rsidP="00E944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4440">
              <w:rPr>
                <w:rFonts w:ascii="Arial" w:hAnsi="Arial" w:cs="Arial"/>
                <w:color w:val="000000"/>
                <w:sz w:val="18"/>
                <w:szCs w:val="18"/>
              </w:rPr>
              <w:t>Kapitalni prijenosi između proračunskih korisnika istog proračuna temeljem prijenosa EU sredstava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94440" w:rsidRPr="00E94440" w:rsidRDefault="00E94440" w:rsidP="00E94440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E94440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6394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94440" w:rsidRPr="00E94440" w:rsidRDefault="00E94440" w:rsidP="00E944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44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94440" w:rsidRPr="00E94440" w:rsidRDefault="00E94440" w:rsidP="00E944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440">
              <w:rPr>
                <w:rFonts w:ascii="Arial" w:hAnsi="Arial" w:cs="Arial"/>
                <w:color w:val="000000"/>
                <w:sz w:val="16"/>
                <w:szCs w:val="16"/>
              </w:rPr>
              <w:t>6.674,17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94440" w:rsidRPr="00E94440" w:rsidRDefault="00E94440" w:rsidP="00E944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44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E94440" w:rsidRDefault="00E94440" w:rsidP="003630A0">
      <w:pPr>
        <w:autoSpaceDE w:val="0"/>
        <w:autoSpaceDN w:val="0"/>
        <w:adjustRightInd w:val="0"/>
        <w:rPr>
          <w:rFonts w:ascii="Arial" w:hAnsi="Arial" w:cs="Arial"/>
        </w:rPr>
      </w:pPr>
    </w:p>
    <w:p w:rsidR="00E94440" w:rsidRDefault="00E94440" w:rsidP="003630A0">
      <w:pPr>
        <w:autoSpaceDE w:val="0"/>
        <w:autoSpaceDN w:val="0"/>
        <w:adjustRightInd w:val="0"/>
        <w:rPr>
          <w:rFonts w:ascii="Arial" w:hAnsi="Arial" w:cs="Arial"/>
        </w:rPr>
      </w:pPr>
    </w:p>
    <w:p w:rsidR="000365D6" w:rsidRDefault="000365D6" w:rsidP="003630A0">
      <w:pPr>
        <w:autoSpaceDE w:val="0"/>
        <w:autoSpaceDN w:val="0"/>
        <w:adjustRightInd w:val="0"/>
        <w:rPr>
          <w:rFonts w:ascii="Arial" w:hAnsi="Arial" w:cs="Arial"/>
        </w:rPr>
      </w:pPr>
    </w:p>
    <w:p w:rsidR="000365D6" w:rsidRDefault="000365D6" w:rsidP="000365D6">
      <w:pPr>
        <w:jc w:val="both"/>
      </w:pPr>
      <w:r w:rsidRPr="00DA5768">
        <w:rPr>
          <w:szCs w:val="20"/>
        </w:rPr>
        <w:t>Ministarstvo regionalnog razvoja i fondova Europske unije pr</w:t>
      </w:r>
      <w:r w:rsidR="00082B6C">
        <w:rPr>
          <w:szCs w:val="20"/>
        </w:rPr>
        <w:t>i</w:t>
      </w:r>
      <w:r w:rsidRPr="00DA5768">
        <w:rPr>
          <w:szCs w:val="20"/>
        </w:rPr>
        <w:t>hvatilo je projekt naše škole u sklopu projekta „</w:t>
      </w:r>
      <w:r w:rsidR="00B11268">
        <w:rPr>
          <w:szCs w:val="20"/>
        </w:rPr>
        <w:t xml:space="preserve">Program ulaganja u zajednicu-adaptacija učionice za rad s </w:t>
      </w:r>
      <w:proofErr w:type="spellStart"/>
      <w:r w:rsidR="00B11268">
        <w:rPr>
          <w:szCs w:val="20"/>
        </w:rPr>
        <w:t>Neurofeedback</w:t>
      </w:r>
      <w:proofErr w:type="spellEnd"/>
      <w:r w:rsidR="00B11268">
        <w:rPr>
          <w:szCs w:val="20"/>
        </w:rPr>
        <w:t xml:space="preserve"> uređajem.“</w:t>
      </w:r>
      <w:r w:rsidR="00A23F02">
        <w:rPr>
          <w:szCs w:val="20"/>
        </w:rPr>
        <w:t xml:space="preserve"> Na prikazanim računima knjižena su s</w:t>
      </w:r>
      <w:r w:rsidR="001300BC">
        <w:rPr>
          <w:szCs w:val="20"/>
        </w:rPr>
        <w:t xml:space="preserve">redstva primljena </w:t>
      </w:r>
      <w:r w:rsidR="00A23F02">
        <w:rPr>
          <w:szCs w:val="20"/>
        </w:rPr>
        <w:t xml:space="preserve">od OŠ A. i S. Radić iz </w:t>
      </w:r>
      <w:proofErr w:type="spellStart"/>
      <w:r w:rsidR="00A23F02">
        <w:rPr>
          <w:szCs w:val="20"/>
        </w:rPr>
        <w:t>Gunje</w:t>
      </w:r>
      <w:proofErr w:type="spellEnd"/>
      <w:r w:rsidR="00A23F02">
        <w:rPr>
          <w:szCs w:val="20"/>
        </w:rPr>
        <w:t xml:space="preserve"> za financiranje STEM projekta.</w:t>
      </w:r>
    </w:p>
    <w:p w:rsidR="00B14D3D" w:rsidRDefault="00B14D3D" w:rsidP="000365D6">
      <w:pPr>
        <w:jc w:val="both"/>
      </w:pPr>
    </w:p>
    <w:p w:rsidR="00B14D3D" w:rsidRPr="008E6E19" w:rsidRDefault="00B14D3D" w:rsidP="00B14D3D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8E6E19">
        <w:rPr>
          <w:rFonts w:ascii="Arial" w:hAnsi="Arial" w:cs="Arial"/>
          <w:b/>
        </w:rPr>
        <w:t xml:space="preserve">Bilješka broj </w:t>
      </w:r>
      <w:r>
        <w:rPr>
          <w:rFonts w:ascii="Arial" w:hAnsi="Arial" w:cs="Arial"/>
          <w:b/>
        </w:rPr>
        <w:t>4</w:t>
      </w:r>
      <w:r w:rsidRPr="008E6E19">
        <w:rPr>
          <w:rFonts w:ascii="Arial" w:hAnsi="Arial" w:cs="Arial"/>
          <w:b/>
        </w:rPr>
        <w:t>.</w:t>
      </w:r>
    </w:p>
    <w:p w:rsidR="00B14D3D" w:rsidRDefault="00B14D3D" w:rsidP="000365D6">
      <w:pPr>
        <w:jc w:val="both"/>
        <w:rPr>
          <w:szCs w:val="20"/>
        </w:rPr>
      </w:pPr>
    </w:p>
    <w:tbl>
      <w:tblPr>
        <w:tblW w:w="13460" w:type="dxa"/>
        <w:tblLook w:val="04A0" w:firstRow="1" w:lastRow="0" w:firstColumn="1" w:lastColumn="0" w:noHBand="0" w:noVBand="1"/>
      </w:tblPr>
      <w:tblGrid>
        <w:gridCol w:w="1440"/>
        <w:gridCol w:w="6560"/>
        <w:gridCol w:w="1360"/>
        <w:gridCol w:w="1580"/>
        <w:gridCol w:w="1580"/>
        <w:gridCol w:w="940"/>
      </w:tblGrid>
      <w:tr w:rsidR="00A23F02" w:rsidRPr="00A23F02" w:rsidTr="00A23F02">
        <w:trPr>
          <w:trHeight w:val="456"/>
        </w:trPr>
        <w:tc>
          <w:tcPr>
            <w:tcW w:w="14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A23F02" w:rsidRPr="00A23F02" w:rsidRDefault="00A23F02" w:rsidP="00A23F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F02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5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A23F02" w:rsidRPr="00A23F02" w:rsidRDefault="00A23F02" w:rsidP="00A23F02">
            <w:pPr>
              <w:rPr>
                <w:rFonts w:ascii="Arial" w:hAnsi="Arial" w:cs="Arial"/>
                <w:sz w:val="18"/>
                <w:szCs w:val="18"/>
              </w:rPr>
            </w:pPr>
            <w:r w:rsidRPr="00A23F02">
              <w:rPr>
                <w:rFonts w:ascii="Arial" w:hAnsi="Arial" w:cs="Arial"/>
                <w:sz w:val="18"/>
                <w:szCs w:val="18"/>
              </w:rPr>
              <w:t>Prihodi od prodaje proizvoda i robe te pruženih usluga, prihodi od donacija te povrati po protestiranim jamstvima (šifre 661+663)</w:t>
            </w:r>
          </w:p>
        </w:tc>
        <w:tc>
          <w:tcPr>
            <w:tcW w:w="13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A23F02" w:rsidRPr="00A23F02" w:rsidRDefault="00A23F02" w:rsidP="00A23F02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A23F02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66</w:t>
            </w:r>
          </w:p>
        </w:tc>
        <w:tc>
          <w:tcPr>
            <w:tcW w:w="15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A23F02" w:rsidRPr="00A23F02" w:rsidRDefault="00A23F02" w:rsidP="00A23F02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A23F0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4.358,88</w:t>
            </w:r>
          </w:p>
        </w:tc>
        <w:tc>
          <w:tcPr>
            <w:tcW w:w="15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A23F02" w:rsidRPr="00A23F02" w:rsidRDefault="00A23F02" w:rsidP="00A23F02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A23F0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6.029,25</w:t>
            </w:r>
          </w:p>
        </w:tc>
        <w:tc>
          <w:tcPr>
            <w:tcW w:w="9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A23F02" w:rsidRPr="00A23F02" w:rsidRDefault="00A23F02" w:rsidP="00A23F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F02">
              <w:rPr>
                <w:rFonts w:ascii="Arial" w:hAnsi="Arial" w:cs="Arial"/>
                <w:color w:val="000000"/>
                <w:sz w:val="16"/>
                <w:szCs w:val="16"/>
              </w:rPr>
              <w:t>138,3</w:t>
            </w:r>
          </w:p>
        </w:tc>
      </w:tr>
      <w:tr w:rsidR="00A23F02" w:rsidRPr="00A23F02" w:rsidTr="00A23F02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A23F02" w:rsidRPr="00A23F02" w:rsidRDefault="00A23F02" w:rsidP="00A23F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F02">
              <w:rPr>
                <w:rFonts w:ascii="Arial" w:hAnsi="Arial" w:cs="Arial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A23F02" w:rsidRPr="00A23F02" w:rsidRDefault="00A23F02" w:rsidP="00A23F02">
            <w:pPr>
              <w:rPr>
                <w:rFonts w:ascii="Arial" w:hAnsi="Arial" w:cs="Arial"/>
                <w:sz w:val="18"/>
                <w:szCs w:val="18"/>
              </w:rPr>
            </w:pPr>
            <w:r w:rsidRPr="00A23F02">
              <w:rPr>
                <w:rFonts w:ascii="Arial" w:hAnsi="Arial" w:cs="Arial"/>
                <w:sz w:val="18"/>
                <w:szCs w:val="18"/>
              </w:rPr>
              <w:t>Prihodi od prodaje proizvoda i robe te pruženih usluga (šifre 6614+6615)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A23F02" w:rsidRPr="00A23F02" w:rsidRDefault="00A23F02" w:rsidP="00A23F02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A23F02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A23F02" w:rsidRPr="00A23F02" w:rsidRDefault="00A23F02" w:rsidP="00A23F02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A23F0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4.013,86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A23F02" w:rsidRPr="00A23F02" w:rsidRDefault="00A23F02" w:rsidP="00A23F02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A23F0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5.849,25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A23F02" w:rsidRPr="00A23F02" w:rsidRDefault="00A23F02" w:rsidP="00A23F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F02">
              <w:rPr>
                <w:rFonts w:ascii="Arial" w:hAnsi="Arial" w:cs="Arial"/>
                <w:color w:val="000000"/>
                <w:sz w:val="16"/>
                <w:szCs w:val="16"/>
              </w:rPr>
              <w:t>145,7</w:t>
            </w:r>
          </w:p>
        </w:tc>
      </w:tr>
      <w:tr w:rsidR="00A23F02" w:rsidRPr="00A23F02" w:rsidTr="00A23F02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A23F02" w:rsidRPr="00A23F02" w:rsidRDefault="00A23F02" w:rsidP="00A23F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F02">
              <w:rPr>
                <w:rFonts w:ascii="Arial" w:hAnsi="Arial" w:cs="Arial"/>
                <w:color w:val="000000"/>
                <w:sz w:val="18"/>
                <w:szCs w:val="18"/>
              </w:rPr>
              <w:t>6614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A23F02" w:rsidRPr="00A23F02" w:rsidRDefault="00A23F02" w:rsidP="00A23F02">
            <w:pPr>
              <w:rPr>
                <w:rFonts w:ascii="Arial" w:hAnsi="Arial" w:cs="Arial"/>
                <w:sz w:val="18"/>
                <w:szCs w:val="18"/>
              </w:rPr>
            </w:pPr>
            <w:r w:rsidRPr="00A23F02">
              <w:rPr>
                <w:rFonts w:ascii="Arial" w:hAnsi="Arial" w:cs="Arial"/>
                <w:sz w:val="18"/>
                <w:szCs w:val="18"/>
              </w:rPr>
              <w:t>Prihodi od prodaje proizvoda i robe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A23F02" w:rsidRPr="00A23F02" w:rsidRDefault="00A23F02" w:rsidP="00A23F02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A23F02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6614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A23F02" w:rsidRPr="00A23F02" w:rsidRDefault="00A23F02" w:rsidP="00A23F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F0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A23F02" w:rsidRPr="00A23F02" w:rsidRDefault="00A23F02" w:rsidP="00A23F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F0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A23F02" w:rsidRPr="00A23F02" w:rsidRDefault="00A23F02" w:rsidP="00A23F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F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23F02" w:rsidRPr="00A23F02" w:rsidTr="00A23F02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A23F02" w:rsidRPr="00A23F02" w:rsidRDefault="00A23F02" w:rsidP="00A23F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F02">
              <w:rPr>
                <w:rFonts w:ascii="Arial" w:hAnsi="Arial" w:cs="Arial"/>
                <w:color w:val="000000"/>
                <w:sz w:val="18"/>
                <w:szCs w:val="18"/>
              </w:rPr>
              <w:t>6615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A23F02" w:rsidRPr="00A23F02" w:rsidRDefault="00A23F02" w:rsidP="00A23F02">
            <w:pPr>
              <w:rPr>
                <w:rFonts w:ascii="Arial" w:hAnsi="Arial" w:cs="Arial"/>
                <w:sz w:val="18"/>
                <w:szCs w:val="18"/>
              </w:rPr>
            </w:pPr>
            <w:r w:rsidRPr="00A23F02">
              <w:rPr>
                <w:rFonts w:ascii="Arial" w:hAnsi="Arial" w:cs="Arial"/>
                <w:sz w:val="18"/>
                <w:szCs w:val="18"/>
              </w:rPr>
              <w:t>Prihodi od pruženih usluga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A23F02" w:rsidRPr="00A23F02" w:rsidRDefault="00A23F02" w:rsidP="00A23F02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A23F02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6615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A23F02" w:rsidRPr="00A23F02" w:rsidRDefault="00A23F02" w:rsidP="00A23F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F02">
              <w:rPr>
                <w:rFonts w:ascii="Arial" w:hAnsi="Arial" w:cs="Arial"/>
                <w:color w:val="000000"/>
                <w:sz w:val="16"/>
                <w:szCs w:val="16"/>
              </w:rPr>
              <w:t>4.013,86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A23F02" w:rsidRPr="00A23F02" w:rsidRDefault="00A23F02" w:rsidP="00A23F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F02">
              <w:rPr>
                <w:rFonts w:ascii="Arial" w:hAnsi="Arial" w:cs="Arial"/>
                <w:color w:val="000000"/>
                <w:sz w:val="16"/>
                <w:szCs w:val="16"/>
              </w:rPr>
              <w:t>5.849,25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A23F02" w:rsidRPr="00A23F02" w:rsidRDefault="00A23F02" w:rsidP="00A23F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F02">
              <w:rPr>
                <w:rFonts w:ascii="Arial" w:hAnsi="Arial" w:cs="Arial"/>
                <w:color w:val="000000"/>
                <w:sz w:val="16"/>
                <w:szCs w:val="16"/>
              </w:rPr>
              <w:t>145,7</w:t>
            </w:r>
          </w:p>
        </w:tc>
      </w:tr>
    </w:tbl>
    <w:p w:rsidR="00B14D3D" w:rsidRDefault="00B14D3D" w:rsidP="003630A0">
      <w:pPr>
        <w:autoSpaceDE w:val="0"/>
        <w:autoSpaceDN w:val="0"/>
        <w:adjustRightInd w:val="0"/>
        <w:rPr>
          <w:rFonts w:ascii="Arial" w:hAnsi="Arial" w:cs="Arial"/>
        </w:rPr>
      </w:pPr>
    </w:p>
    <w:p w:rsidR="00EA276C" w:rsidRDefault="00A23F02" w:rsidP="003630A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U prvom polugodištu došlo je do većeg interesa za iznajmljivanje školske dvorane i učionice škole o odnosu na isto razdoblje prošle godine </w:t>
      </w:r>
      <w:r w:rsidR="000D7EFA">
        <w:rPr>
          <w:rFonts w:ascii="Arial" w:hAnsi="Arial" w:cs="Arial"/>
        </w:rPr>
        <w:t>te je iz istog razloga vidljivo</w:t>
      </w:r>
      <w:r>
        <w:rPr>
          <w:rFonts w:ascii="Arial" w:hAnsi="Arial" w:cs="Arial"/>
        </w:rPr>
        <w:t xml:space="preserve"> i povećanje prihoda od pruženih usluga odnosno od najamnine</w:t>
      </w:r>
      <w:r w:rsidR="00B14D3D">
        <w:rPr>
          <w:rFonts w:ascii="Arial" w:hAnsi="Arial" w:cs="Arial"/>
        </w:rPr>
        <w:t>.</w:t>
      </w:r>
    </w:p>
    <w:p w:rsidR="004B7992" w:rsidRDefault="004B7992" w:rsidP="003630A0">
      <w:pPr>
        <w:autoSpaceDE w:val="0"/>
        <w:autoSpaceDN w:val="0"/>
        <w:adjustRightInd w:val="0"/>
        <w:rPr>
          <w:rFonts w:ascii="Arial" w:hAnsi="Arial" w:cs="Arial"/>
        </w:rPr>
      </w:pPr>
    </w:p>
    <w:p w:rsidR="004B7992" w:rsidRPr="000D7EFA" w:rsidRDefault="004B7992" w:rsidP="003630A0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8E6E19">
        <w:rPr>
          <w:rFonts w:ascii="Arial" w:hAnsi="Arial" w:cs="Arial"/>
          <w:b/>
        </w:rPr>
        <w:t xml:space="preserve">Bilješka broj </w:t>
      </w:r>
      <w:r w:rsidR="00B14D3D">
        <w:rPr>
          <w:rFonts w:ascii="Arial" w:hAnsi="Arial" w:cs="Arial"/>
          <w:b/>
        </w:rPr>
        <w:t>5</w:t>
      </w:r>
      <w:r w:rsidRPr="008E6E19">
        <w:rPr>
          <w:rFonts w:ascii="Arial" w:hAnsi="Arial" w:cs="Arial"/>
          <w:b/>
        </w:rPr>
        <w:t>.</w:t>
      </w:r>
    </w:p>
    <w:p w:rsidR="00A23F02" w:rsidRDefault="00A23F02" w:rsidP="003630A0">
      <w:pPr>
        <w:autoSpaceDE w:val="0"/>
        <w:autoSpaceDN w:val="0"/>
        <w:adjustRightInd w:val="0"/>
        <w:rPr>
          <w:rFonts w:ascii="Arial" w:hAnsi="Arial" w:cs="Arial"/>
        </w:rPr>
      </w:pPr>
    </w:p>
    <w:p w:rsidR="00081708" w:rsidRPr="00405162" w:rsidRDefault="00405162" w:rsidP="003630A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13120" w:type="dxa"/>
        <w:tblInd w:w="93" w:type="dxa"/>
        <w:tblLook w:val="04A0" w:firstRow="1" w:lastRow="0" w:firstColumn="1" w:lastColumn="0" w:noHBand="0" w:noVBand="1"/>
      </w:tblPr>
      <w:tblGrid>
        <w:gridCol w:w="1400"/>
        <w:gridCol w:w="6380"/>
        <w:gridCol w:w="1340"/>
        <w:gridCol w:w="1540"/>
        <w:gridCol w:w="1540"/>
        <w:gridCol w:w="920"/>
      </w:tblGrid>
      <w:tr w:rsidR="00A23F02" w:rsidRPr="000D7EFA" w:rsidTr="000D7EFA">
        <w:trPr>
          <w:trHeight w:val="255"/>
        </w:trPr>
        <w:tc>
          <w:tcPr>
            <w:tcW w:w="140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A23F02" w:rsidRDefault="00A23F02" w:rsidP="00A23F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63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A23F02" w:rsidRDefault="00A23F02" w:rsidP="00A23F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Prihodi po posebnim propisima (šifre 6521 do 6528)</w:t>
            </w:r>
          </w:p>
        </w:tc>
        <w:tc>
          <w:tcPr>
            <w:tcW w:w="1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A23F02" w:rsidRDefault="00A23F02" w:rsidP="00A23F02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652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A23F02" w:rsidRDefault="00A23F02" w:rsidP="00A23F02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1.272,42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A23F02" w:rsidRDefault="00A23F02" w:rsidP="00A23F02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6.390,81</w:t>
            </w:r>
          </w:p>
        </w:tc>
        <w:tc>
          <w:tcPr>
            <w:tcW w:w="9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A23F02" w:rsidRDefault="00A23F02" w:rsidP="00A23F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502,3</w:t>
            </w:r>
          </w:p>
        </w:tc>
      </w:tr>
      <w:tr w:rsidR="00A23F02" w:rsidRPr="000D7EFA" w:rsidTr="000D7EFA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A23F02" w:rsidRDefault="00A23F02" w:rsidP="00A23F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6521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A23F02" w:rsidRDefault="00A23F02" w:rsidP="00A23F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Prihodi državne uprave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A23F02" w:rsidRDefault="00A23F02" w:rsidP="00A23F02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6521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A23F02" w:rsidRDefault="00A23F02" w:rsidP="00A23F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A23F02" w:rsidRDefault="00A23F02" w:rsidP="00A23F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A23F02" w:rsidRDefault="00A23F02" w:rsidP="00A23F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23F02" w:rsidRPr="000D7EFA" w:rsidTr="000D7EFA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A23F02" w:rsidRDefault="00A23F02" w:rsidP="00A23F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6522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A23F02" w:rsidRDefault="00A23F02" w:rsidP="00A23F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Prihodi vodnog gospodarstva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A23F02" w:rsidRDefault="00A23F02" w:rsidP="00A23F02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6522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A23F02" w:rsidRDefault="00A23F02" w:rsidP="00A23F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A23F02" w:rsidRDefault="00A23F02" w:rsidP="00A23F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A23F02" w:rsidRDefault="00A23F02" w:rsidP="00A23F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23F02" w:rsidRPr="000D7EFA" w:rsidTr="000D7EFA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A23F02" w:rsidRDefault="00A23F02" w:rsidP="00A23F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6524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A23F02" w:rsidRDefault="00A23F02" w:rsidP="00A23F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Doprinosi za šume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A23F02" w:rsidRDefault="00A23F02" w:rsidP="00A23F02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6524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A23F02" w:rsidRDefault="00A23F02" w:rsidP="00A23F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A23F02" w:rsidRDefault="00A23F02" w:rsidP="00A23F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A23F02" w:rsidRDefault="00A23F02" w:rsidP="00A23F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23F02" w:rsidRPr="000D7EFA" w:rsidTr="000D7EFA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A23F02" w:rsidRDefault="00A23F02" w:rsidP="00A23F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6525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A23F02" w:rsidRDefault="00A23F02" w:rsidP="00A23F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Mjesni samodoprinos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A23F02" w:rsidRDefault="00A23F02" w:rsidP="00A23F02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6525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A23F02" w:rsidRDefault="00A23F02" w:rsidP="00A23F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A23F02" w:rsidRDefault="00A23F02" w:rsidP="00A23F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A23F02" w:rsidRDefault="00A23F02" w:rsidP="00A23F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23F02" w:rsidRPr="000D7EFA" w:rsidTr="000D7EFA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A23F02" w:rsidRDefault="00A23F02" w:rsidP="00A23F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6526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A23F02" w:rsidRDefault="00A23F02" w:rsidP="00A23F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Ostali nespomenuti prihodi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A23F02" w:rsidRDefault="00A23F02" w:rsidP="00A23F02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6526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A23F02" w:rsidRDefault="00A23F02" w:rsidP="00A23F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1.272,42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A23F02" w:rsidRDefault="00A23F02" w:rsidP="00A23F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6.390,81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A23F02" w:rsidRDefault="00A23F02" w:rsidP="00A23F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502,3</w:t>
            </w:r>
          </w:p>
        </w:tc>
      </w:tr>
    </w:tbl>
    <w:p w:rsidR="00405162" w:rsidRDefault="00405162" w:rsidP="003630A0">
      <w:pPr>
        <w:autoSpaceDE w:val="0"/>
        <w:autoSpaceDN w:val="0"/>
        <w:adjustRightInd w:val="0"/>
        <w:rPr>
          <w:rFonts w:ascii="Arial" w:hAnsi="Arial" w:cs="Arial"/>
        </w:rPr>
      </w:pPr>
    </w:p>
    <w:p w:rsidR="00E519E1" w:rsidRDefault="00E519E1" w:rsidP="00E519E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Dana 19. i 21. srpnja 2023. godine </w:t>
      </w:r>
      <w:proofErr w:type="spellStart"/>
      <w:r>
        <w:rPr>
          <w:rFonts w:ascii="Arial" w:hAnsi="Arial" w:cs="Arial"/>
        </w:rPr>
        <w:t>Cernu</w:t>
      </w:r>
      <w:proofErr w:type="spellEnd"/>
      <w:r>
        <w:rPr>
          <w:rFonts w:ascii="Arial" w:hAnsi="Arial" w:cs="Arial"/>
        </w:rPr>
        <w:t xml:space="preserve"> je zahvatilo olujno nevrijeme i uslijed tog nevremena naša škola je pretrpjela značajno oštećenje. Od strane županije proglašena je elemen</w:t>
      </w:r>
      <w:r w:rsidR="009B1696">
        <w:rPr>
          <w:rFonts w:ascii="Arial" w:hAnsi="Arial" w:cs="Arial"/>
        </w:rPr>
        <w:t xml:space="preserve">tarna nepogoda. Škola u </w:t>
      </w:r>
      <w:proofErr w:type="spellStart"/>
      <w:r w:rsidR="009B1696">
        <w:rPr>
          <w:rFonts w:ascii="Arial" w:hAnsi="Arial" w:cs="Arial"/>
        </w:rPr>
        <w:t>Cerni</w:t>
      </w:r>
      <w:proofErr w:type="spellEnd"/>
      <w:r w:rsidR="009B16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pretrpjela</w:t>
      </w:r>
      <w:r w:rsidR="009B1696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velika oštećenja na krovu a samim tim su stradale i učionice i sva oprema u njima, dok je PŠ u </w:t>
      </w:r>
      <w:proofErr w:type="spellStart"/>
      <w:r>
        <w:rPr>
          <w:rFonts w:ascii="Arial" w:hAnsi="Arial" w:cs="Arial"/>
        </w:rPr>
        <w:t>Šiškovcima</w:t>
      </w:r>
      <w:proofErr w:type="spellEnd"/>
      <w:r>
        <w:rPr>
          <w:rFonts w:ascii="Arial" w:hAnsi="Arial" w:cs="Arial"/>
        </w:rPr>
        <w:t xml:space="preserve"> imala nešto manja oštećenja. Na zgradi ŠS dvorane nismo imali oštećenje. Kako je sva školska imovina osigurana</w:t>
      </w:r>
      <w:r w:rsidR="009B169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štete su prijavljene osiguravatelju Croatia osiguranje d.d., Zagreb. Iznos na oznaci 6526 odnosi se na prihode od osiguranja za isplatu štete. Šteta je većim </w:t>
      </w:r>
      <w:r w:rsidR="009B1696">
        <w:rPr>
          <w:rFonts w:ascii="Arial" w:hAnsi="Arial" w:cs="Arial"/>
        </w:rPr>
        <w:t>dijelom sanirana tijekom 2023. O</w:t>
      </w:r>
      <w:r>
        <w:rPr>
          <w:rFonts w:ascii="Arial" w:hAnsi="Arial" w:cs="Arial"/>
        </w:rPr>
        <w:t>stali su još završni radovi i nabavka uništene opreme za učionice a navedeno je realizirano u 2024. godini. Osiguranje nam je početkom godine dostavilo konačan obračun štete i po njemu isplatilo posljednji dio odštetnog računa. Navedeni prihod knjižen je na računu 65267.</w:t>
      </w:r>
    </w:p>
    <w:p w:rsidR="003630A0" w:rsidRDefault="003630A0" w:rsidP="003630A0">
      <w:pPr>
        <w:autoSpaceDE w:val="0"/>
        <w:autoSpaceDN w:val="0"/>
        <w:adjustRightInd w:val="0"/>
        <w:rPr>
          <w:rFonts w:ascii="Arial" w:hAnsi="Arial" w:cs="Arial"/>
        </w:rPr>
      </w:pPr>
    </w:p>
    <w:p w:rsidR="001300BC" w:rsidRDefault="001300BC" w:rsidP="003630A0">
      <w:pPr>
        <w:autoSpaceDE w:val="0"/>
        <w:autoSpaceDN w:val="0"/>
        <w:adjustRightInd w:val="0"/>
        <w:rPr>
          <w:rFonts w:ascii="Arial" w:hAnsi="Arial" w:cs="Arial"/>
        </w:rPr>
      </w:pPr>
    </w:p>
    <w:p w:rsidR="000D7EFA" w:rsidRPr="000D7EFA" w:rsidRDefault="000D7EFA" w:rsidP="003630A0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0D7EFA">
        <w:rPr>
          <w:rFonts w:ascii="Arial" w:hAnsi="Arial" w:cs="Arial"/>
          <w:b/>
        </w:rPr>
        <w:t>Bilješka broj 6.</w:t>
      </w:r>
    </w:p>
    <w:p w:rsidR="00B20131" w:rsidRDefault="00B20131" w:rsidP="006E7C6D">
      <w:pPr>
        <w:pStyle w:val="Bezproreda"/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3120" w:type="dxa"/>
        <w:tblInd w:w="93" w:type="dxa"/>
        <w:tblLook w:val="04A0" w:firstRow="1" w:lastRow="0" w:firstColumn="1" w:lastColumn="0" w:noHBand="0" w:noVBand="1"/>
      </w:tblPr>
      <w:tblGrid>
        <w:gridCol w:w="1400"/>
        <w:gridCol w:w="6380"/>
        <w:gridCol w:w="1340"/>
        <w:gridCol w:w="1540"/>
        <w:gridCol w:w="1540"/>
        <w:gridCol w:w="920"/>
      </w:tblGrid>
      <w:tr w:rsidR="00E519E1" w:rsidRPr="000D7EFA" w:rsidTr="000D7EFA">
        <w:trPr>
          <w:trHeight w:val="283"/>
        </w:trPr>
        <w:tc>
          <w:tcPr>
            <w:tcW w:w="140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519E1" w:rsidRDefault="00E519E1" w:rsidP="00E51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63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519E1" w:rsidRDefault="00E519E1" w:rsidP="00E51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Prihodi iz nadležnog proračuna i od HZZO-a na temelju ugovornih obveza (šifre 671+673)</w:t>
            </w:r>
          </w:p>
        </w:tc>
        <w:tc>
          <w:tcPr>
            <w:tcW w:w="1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519E1" w:rsidRDefault="00E519E1" w:rsidP="00E519E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67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519E1" w:rsidRDefault="00E519E1" w:rsidP="00E519E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94.453,78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519E1" w:rsidRDefault="00E519E1" w:rsidP="00E519E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78.123,71</w:t>
            </w:r>
          </w:p>
        </w:tc>
        <w:tc>
          <w:tcPr>
            <w:tcW w:w="9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519E1" w:rsidRDefault="00E519E1" w:rsidP="00E519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82,7</w:t>
            </w:r>
          </w:p>
        </w:tc>
      </w:tr>
      <w:tr w:rsidR="00E519E1" w:rsidRPr="000D7EFA" w:rsidTr="000D7EFA">
        <w:trPr>
          <w:trHeight w:val="283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519E1" w:rsidRDefault="00E519E1" w:rsidP="00E51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519E1" w:rsidRDefault="00E519E1" w:rsidP="00E51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Prihodi iz nadležnog proračuna za financiranje redovne djelatnosti proračunskih korisnika (šifre 6711 do 6714)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519E1" w:rsidRDefault="00E519E1" w:rsidP="00E519E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519E1" w:rsidRDefault="00E519E1" w:rsidP="00E519E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94.453,78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519E1" w:rsidRDefault="00E519E1" w:rsidP="00E519E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78.123,71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519E1" w:rsidRDefault="00E519E1" w:rsidP="00E519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82,7</w:t>
            </w:r>
          </w:p>
        </w:tc>
      </w:tr>
      <w:tr w:rsidR="00E519E1" w:rsidRPr="000D7EFA" w:rsidTr="000D7EFA">
        <w:trPr>
          <w:trHeight w:val="283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519E1" w:rsidRDefault="00E519E1" w:rsidP="00E51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6711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519E1" w:rsidRDefault="00E519E1" w:rsidP="00E51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Prihodi iz  nadležnog proračuna za financiranje rashoda poslovanja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519E1" w:rsidRDefault="00E519E1" w:rsidP="00E519E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6711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519E1" w:rsidRDefault="00E519E1" w:rsidP="00E519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81.478,95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519E1" w:rsidRDefault="00E519E1" w:rsidP="00E519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78.123,71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519E1" w:rsidRDefault="00E519E1" w:rsidP="00E519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95,9</w:t>
            </w:r>
          </w:p>
        </w:tc>
      </w:tr>
      <w:tr w:rsidR="00E519E1" w:rsidRPr="000D7EFA" w:rsidTr="000D7EFA">
        <w:trPr>
          <w:trHeight w:val="283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519E1" w:rsidRDefault="00E519E1" w:rsidP="00E51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6712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519E1" w:rsidRDefault="00E519E1" w:rsidP="00E51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Prihodi iz nadležnog proračuna za financiranje rashoda za nabavu nefinancijske imovine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519E1" w:rsidRDefault="00E519E1" w:rsidP="00E519E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6712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519E1" w:rsidRDefault="00E519E1" w:rsidP="00E519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12.974,83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519E1" w:rsidRDefault="00E519E1" w:rsidP="00E519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519E1" w:rsidRDefault="00E519E1" w:rsidP="00E519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519E1" w:rsidRPr="000D7EFA" w:rsidTr="000D7EFA">
        <w:trPr>
          <w:trHeight w:val="283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519E1" w:rsidRDefault="00E519E1" w:rsidP="00E51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519E1" w:rsidRDefault="00E519E1" w:rsidP="00E51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Rashodi za materijal i energiju (šifre 3221 do 3227)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519E1" w:rsidRDefault="00E519E1" w:rsidP="00E519E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519E1" w:rsidRDefault="00E519E1" w:rsidP="00E519E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75.928,38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519E1" w:rsidRDefault="00E519E1" w:rsidP="00E519E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77.726,04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519E1" w:rsidRDefault="00E519E1" w:rsidP="00E519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102,4</w:t>
            </w:r>
          </w:p>
        </w:tc>
      </w:tr>
      <w:tr w:rsidR="00E519E1" w:rsidRPr="000D7EFA" w:rsidTr="000D7EFA">
        <w:trPr>
          <w:trHeight w:val="283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519E1" w:rsidRDefault="00E519E1" w:rsidP="00E51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519E1" w:rsidRDefault="00E519E1" w:rsidP="00E51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519E1" w:rsidRDefault="00E519E1" w:rsidP="00E519E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519E1" w:rsidRDefault="00E519E1" w:rsidP="00E519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5.668,03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519E1" w:rsidRDefault="00E519E1" w:rsidP="00E519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4.733,68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519E1" w:rsidRDefault="00E519E1" w:rsidP="00E519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83,5</w:t>
            </w:r>
          </w:p>
        </w:tc>
      </w:tr>
      <w:tr w:rsidR="00E519E1" w:rsidRPr="000D7EFA" w:rsidTr="000D7EFA">
        <w:trPr>
          <w:trHeight w:val="283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519E1" w:rsidRDefault="00E519E1" w:rsidP="00E51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519E1" w:rsidRDefault="00E519E1" w:rsidP="00E51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Materijal i sirovine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519E1" w:rsidRDefault="00E519E1" w:rsidP="00E519E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519E1" w:rsidRDefault="00E519E1" w:rsidP="00E519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39.358,28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519E1" w:rsidRDefault="00E519E1" w:rsidP="00E519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44.624,25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519E1" w:rsidRDefault="00E519E1" w:rsidP="00E519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113,4</w:t>
            </w:r>
          </w:p>
        </w:tc>
      </w:tr>
      <w:tr w:rsidR="00E519E1" w:rsidRPr="000D7EFA" w:rsidTr="000D7EFA">
        <w:trPr>
          <w:trHeight w:val="283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519E1" w:rsidRDefault="00E519E1" w:rsidP="00E51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519E1" w:rsidRDefault="00E519E1" w:rsidP="00E51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Energija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519E1" w:rsidRDefault="00E519E1" w:rsidP="00E519E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519E1" w:rsidRDefault="00E519E1" w:rsidP="00E519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28.720,51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519E1" w:rsidRDefault="00E519E1" w:rsidP="00E519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25.136,20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519E1" w:rsidRDefault="00E519E1" w:rsidP="00E519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87,5</w:t>
            </w:r>
          </w:p>
        </w:tc>
      </w:tr>
      <w:tr w:rsidR="00E519E1" w:rsidRPr="000D7EFA" w:rsidTr="000D7EFA">
        <w:trPr>
          <w:trHeight w:val="283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519E1" w:rsidRDefault="00E519E1" w:rsidP="00E51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519E1" w:rsidRDefault="00E519E1" w:rsidP="00E51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Materijal i dijelovi za tekuće i investicijsko održavanje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519E1" w:rsidRDefault="00E519E1" w:rsidP="00E519E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519E1" w:rsidRDefault="00E519E1" w:rsidP="00E519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978,07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519E1" w:rsidRDefault="00E519E1" w:rsidP="00E519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1.891,49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519E1" w:rsidRDefault="00E519E1" w:rsidP="00E519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193,4</w:t>
            </w:r>
          </w:p>
        </w:tc>
      </w:tr>
      <w:tr w:rsidR="00E519E1" w:rsidRPr="000D7EFA" w:rsidTr="000D7EFA">
        <w:trPr>
          <w:trHeight w:val="283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519E1" w:rsidRDefault="00E519E1" w:rsidP="00E51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519E1" w:rsidRDefault="00E519E1" w:rsidP="00E51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Sitni inventar i auto gume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519E1" w:rsidRDefault="00E519E1" w:rsidP="00E519E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519E1" w:rsidRDefault="00E519E1" w:rsidP="00E519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1.203,49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519E1" w:rsidRDefault="00E519E1" w:rsidP="00E519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1.340,42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519E1" w:rsidRDefault="00E519E1" w:rsidP="00E519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111,4</w:t>
            </w:r>
          </w:p>
        </w:tc>
      </w:tr>
    </w:tbl>
    <w:p w:rsidR="002069F9" w:rsidRDefault="002069F9" w:rsidP="006E7C6D">
      <w:pPr>
        <w:pStyle w:val="Bezproreda"/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0D7EFA" w:rsidRDefault="000D7EFA" w:rsidP="006E7C6D">
      <w:pPr>
        <w:pStyle w:val="Bezproreda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Zbog povećanja cijene energenata povećani su i prihodi i rashodi koji se financiraju iz županijskog proračuna. </w:t>
      </w:r>
    </w:p>
    <w:p w:rsidR="000D7EFA" w:rsidRDefault="000D7EFA" w:rsidP="006E7C6D">
      <w:pPr>
        <w:pStyle w:val="Bezproreda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0D7EFA" w:rsidRDefault="000D7EFA" w:rsidP="006E7C6D">
      <w:pPr>
        <w:pStyle w:val="Bezproreda"/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502E62">
        <w:rPr>
          <w:rFonts w:ascii="Arial" w:hAnsi="Arial" w:cs="Arial"/>
          <w:b/>
          <w:sz w:val="24"/>
          <w:szCs w:val="24"/>
        </w:rPr>
        <w:t>Bilješka broj 7.</w:t>
      </w:r>
    </w:p>
    <w:p w:rsidR="00502E62" w:rsidRDefault="00502E62" w:rsidP="006E7C6D">
      <w:pPr>
        <w:pStyle w:val="Bezproreda"/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3120" w:type="dxa"/>
        <w:tblInd w:w="93" w:type="dxa"/>
        <w:tblLook w:val="04A0" w:firstRow="1" w:lastRow="0" w:firstColumn="1" w:lastColumn="0" w:noHBand="0" w:noVBand="1"/>
      </w:tblPr>
      <w:tblGrid>
        <w:gridCol w:w="1400"/>
        <w:gridCol w:w="6380"/>
        <w:gridCol w:w="1340"/>
        <w:gridCol w:w="1540"/>
        <w:gridCol w:w="1540"/>
        <w:gridCol w:w="920"/>
      </w:tblGrid>
      <w:tr w:rsidR="00E519E1" w:rsidRPr="00502E62" w:rsidTr="00502E62">
        <w:trPr>
          <w:trHeight w:val="255"/>
        </w:trPr>
        <w:tc>
          <w:tcPr>
            <w:tcW w:w="140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519E1" w:rsidRDefault="00E519E1" w:rsidP="00E51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3212</w:t>
            </w:r>
          </w:p>
        </w:tc>
        <w:tc>
          <w:tcPr>
            <w:tcW w:w="63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519E1" w:rsidRDefault="00E519E1" w:rsidP="00E51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Naknade za prijevoz, za rad na terenu i odvojeni život</w:t>
            </w:r>
          </w:p>
        </w:tc>
        <w:tc>
          <w:tcPr>
            <w:tcW w:w="1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519E1" w:rsidRDefault="00E519E1" w:rsidP="00E519E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3212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519E1" w:rsidRDefault="00E519E1" w:rsidP="00E519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19.636,59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519E1" w:rsidRDefault="00E519E1" w:rsidP="00E519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20.775,34</w:t>
            </w:r>
          </w:p>
        </w:tc>
        <w:tc>
          <w:tcPr>
            <w:tcW w:w="9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519E1" w:rsidRDefault="00E519E1" w:rsidP="00E519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105,8</w:t>
            </w:r>
          </w:p>
        </w:tc>
      </w:tr>
    </w:tbl>
    <w:p w:rsidR="00502E62" w:rsidRDefault="00502E62" w:rsidP="006E7C6D">
      <w:pPr>
        <w:pStyle w:val="Bezproreda"/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502E62" w:rsidRPr="00502E62" w:rsidRDefault="00E519E1" w:rsidP="006E7C6D">
      <w:pPr>
        <w:pStyle w:val="Bezproreda"/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Zbog povećanja cijena energenata došlo je i do povećanja cijena prijevoza zaposlenika s posla i na posao.</w:t>
      </w:r>
    </w:p>
    <w:p w:rsidR="00E519E1" w:rsidRDefault="00E519E1" w:rsidP="00E6240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C23750" w:rsidRDefault="00E519E1" w:rsidP="00E6240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Bilješka broj 8.</w:t>
      </w:r>
    </w:p>
    <w:p w:rsidR="00E519E1" w:rsidRDefault="00E519E1" w:rsidP="00E6240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tbl>
      <w:tblPr>
        <w:tblW w:w="13460" w:type="dxa"/>
        <w:tblLook w:val="04A0" w:firstRow="1" w:lastRow="0" w:firstColumn="1" w:lastColumn="0" w:noHBand="0" w:noVBand="1"/>
      </w:tblPr>
      <w:tblGrid>
        <w:gridCol w:w="1440"/>
        <w:gridCol w:w="6560"/>
        <w:gridCol w:w="1360"/>
        <w:gridCol w:w="1580"/>
        <w:gridCol w:w="1580"/>
        <w:gridCol w:w="940"/>
      </w:tblGrid>
      <w:tr w:rsidR="00E519E1" w:rsidRPr="00E519E1" w:rsidTr="00E519E1">
        <w:trPr>
          <w:trHeight w:val="255"/>
        </w:trPr>
        <w:tc>
          <w:tcPr>
            <w:tcW w:w="14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519E1" w:rsidRPr="00E519E1" w:rsidRDefault="00E519E1" w:rsidP="00E51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9E1">
              <w:rPr>
                <w:rFonts w:ascii="Arial" w:hAnsi="Arial" w:cs="Arial"/>
                <w:color w:val="000000"/>
                <w:sz w:val="18"/>
                <w:szCs w:val="18"/>
              </w:rPr>
              <w:t>3234</w:t>
            </w:r>
          </w:p>
        </w:tc>
        <w:tc>
          <w:tcPr>
            <w:tcW w:w="65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519E1" w:rsidRPr="00E519E1" w:rsidRDefault="00E519E1" w:rsidP="00E51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9E1">
              <w:rPr>
                <w:rFonts w:ascii="Arial" w:hAnsi="Arial" w:cs="Arial"/>
                <w:color w:val="000000"/>
                <w:sz w:val="18"/>
                <w:szCs w:val="18"/>
              </w:rPr>
              <w:t>Komunalne usluge</w:t>
            </w:r>
          </w:p>
        </w:tc>
        <w:tc>
          <w:tcPr>
            <w:tcW w:w="13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519E1" w:rsidRPr="00E519E1" w:rsidRDefault="00E519E1" w:rsidP="00E519E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E519E1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3234</w:t>
            </w:r>
          </w:p>
        </w:tc>
        <w:tc>
          <w:tcPr>
            <w:tcW w:w="15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519E1" w:rsidRPr="00E519E1" w:rsidRDefault="00E519E1" w:rsidP="00E519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9E1">
              <w:rPr>
                <w:rFonts w:ascii="Arial" w:hAnsi="Arial" w:cs="Arial"/>
                <w:color w:val="000000"/>
                <w:sz w:val="16"/>
                <w:szCs w:val="16"/>
              </w:rPr>
              <w:t>2.556,59</w:t>
            </w:r>
          </w:p>
        </w:tc>
        <w:tc>
          <w:tcPr>
            <w:tcW w:w="15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519E1" w:rsidRPr="00E519E1" w:rsidRDefault="00E519E1" w:rsidP="00E519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9E1">
              <w:rPr>
                <w:rFonts w:ascii="Arial" w:hAnsi="Arial" w:cs="Arial"/>
                <w:color w:val="000000"/>
                <w:sz w:val="16"/>
                <w:szCs w:val="16"/>
              </w:rPr>
              <w:t>3.600,81</w:t>
            </w:r>
          </w:p>
        </w:tc>
        <w:tc>
          <w:tcPr>
            <w:tcW w:w="9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519E1" w:rsidRPr="00E519E1" w:rsidRDefault="00E519E1" w:rsidP="00E519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9E1">
              <w:rPr>
                <w:rFonts w:ascii="Arial" w:hAnsi="Arial" w:cs="Arial"/>
                <w:color w:val="000000"/>
                <w:sz w:val="16"/>
                <w:szCs w:val="16"/>
              </w:rPr>
              <w:t>140,8</w:t>
            </w:r>
          </w:p>
        </w:tc>
      </w:tr>
      <w:tr w:rsidR="00E519E1" w:rsidRPr="00E519E1" w:rsidTr="00E519E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519E1" w:rsidRPr="00E519E1" w:rsidRDefault="00E519E1" w:rsidP="00E51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9E1">
              <w:rPr>
                <w:rFonts w:ascii="Arial" w:hAnsi="Arial" w:cs="Arial"/>
                <w:color w:val="000000"/>
                <w:sz w:val="18"/>
                <w:szCs w:val="18"/>
              </w:rPr>
              <w:t>3235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519E1" w:rsidRPr="00E519E1" w:rsidRDefault="00E519E1" w:rsidP="00E51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9E1">
              <w:rPr>
                <w:rFonts w:ascii="Arial" w:hAnsi="Arial" w:cs="Arial"/>
                <w:color w:val="000000"/>
                <w:sz w:val="18"/>
                <w:szCs w:val="18"/>
              </w:rPr>
              <w:t>Zakupnine i najamnine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519E1" w:rsidRPr="00E519E1" w:rsidRDefault="00E519E1" w:rsidP="00E519E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E519E1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519E1" w:rsidRPr="00E519E1" w:rsidRDefault="00E519E1" w:rsidP="00E519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9E1">
              <w:rPr>
                <w:rFonts w:ascii="Arial" w:hAnsi="Arial" w:cs="Arial"/>
                <w:color w:val="000000"/>
                <w:sz w:val="16"/>
                <w:szCs w:val="16"/>
              </w:rPr>
              <w:t>41,15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519E1" w:rsidRPr="00E519E1" w:rsidRDefault="00E519E1" w:rsidP="00E519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9E1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519E1" w:rsidRPr="00E519E1" w:rsidRDefault="00E519E1" w:rsidP="00E519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9E1">
              <w:rPr>
                <w:rFonts w:ascii="Arial" w:hAnsi="Arial" w:cs="Arial"/>
                <w:color w:val="000000"/>
                <w:sz w:val="16"/>
                <w:szCs w:val="16"/>
              </w:rPr>
              <w:t>85,1</w:t>
            </w:r>
          </w:p>
        </w:tc>
      </w:tr>
      <w:tr w:rsidR="00E519E1" w:rsidRPr="00E519E1" w:rsidTr="00E519E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519E1" w:rsidRPr="00E519E1" w:rsidRDefault="00E519E1" w:rsidP="00E51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9E1">
              <w:rPr>
                <w:rFonts w:ascii="Arial" w:hAnsi="Arial" w:cs="Arial"/>
                <w:color w:val="000000"/>
                <w:sz w:val="18"/>
                <w:szCs w:val="18"/>
              </w:rPr>
              <w:t>3236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519E1" w:rsidRPr="00E519E1" w:rsidRDefault="00E519E1" w:rsidP="00E51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9E1">
              <w:rPr>
                <w:rFonts w:ascii="Arial" w:hAnsi="Arial" w:cs="Arial"/>
                <w:color w:val="000000"/>
                <w:sz w:val="18"/>
                <w:szCs w:val="18"/>
              </w:rPr>
              <w:t>Zdravstvene i veterinarske usluge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519E1" w:rsidRPr="00E519E1" w:rsidRDefault="00E519E1" w:rsidP="00E519E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E519E1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519E1" w:rsidRPr="00E519E1" w:rsidRDefault="00E519E1" w:rsidP="00E519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9E1">
              <w:rPr>
                <w:rFonts w:ascii="Arial" w:hAnsi="Arial" w:cs="Arial"/>
                <w:color w:val="000000"/>
                <w:sz w:val="16"/>
                <w:szCs w:val="16"/>
              </w:rPr>
              <w:t>228,33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519E1" w:rsidRPr="00E519E1" w:rsidRDefault="00E519E1" w:rsidP="00E519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9E1">
              <w:rPr>
                <w:rFonts w:ascii="Arial" w:hAnsi="Arial" w:cs="Arial"/>
                <w:color w:val="000000"/>
                <w:sz w:val="16"/>
                <w:szCs w:val="16"/>
              </w:rPr>
              <w:t>2.464,06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519E1" w:rsidRPr="00E519E1" w:rsidRDefault="00E519E1" w:rsidP="00E519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9E1">
              <w:rPr>
                <w:rFonts w:ascii="Arial" w:hAnsi="Arial" w:cs="Arial"/>
                <w:color w:val="000000"/>
                <w:sz w:val="16"/>
                <w:szCs w:val="16"/>
              </w:rPr>
              <w:t>1.079,2</w:t>
            </w:r>
          </w:p>
        </w:tc>
      </w:tr>
      <w:tr w:rsidR="00E519E1" w:rsidRPr="00E519E1" w:rsidTr="00E519E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519E1" w:rsidRPr="00E519E1" w:rsidRDefault="00E519E1" w:rsidP="00E51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9E1">
              <w:rPr>
                <w:rFonts w:ascii="Arial" w:hAnsi="Arial" w:cs="Arial"/>
                <w:color w:val="000000"/>
                <w:sz w:val="18"/>
                <w:szCs w:val="18"/>
              </w:rPr>
              <w:t>3237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519E1" w:rsidRPr="00E519E1" w:rsidRDefault="00E519E1" w:rsidP="00E51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9E1">
              <w:rPr>
                <w:rFonts w:ascii="Arial" w:hAnsi="Arial" w:cs="Arial"/>
                <w:color w:val="000000"/>
                <w:sz w:val="18"/>
                <w:szCs w:val="18"/>
              </w:rPr>
              <w:t>Intelektualne i osobne usluge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519E1" w:rsidRPr="00E519E1" w:rsidRDefault="00E519E1" w:rsidP="00E519E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E519E1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519E1" w:rsidRPr="00E519E1" w:rsidRDefault="00E519E1" w:rsidP="00E519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9E1">
              <w:rPr>
                <w:rFonts w:ascii="Arial" w:hAnsi="Arial" w:cs="Arial"/>
                <w:color w:val="000000"/>
                <w:sz w:val="16"/>
                <w:szCs w:val="16"/>
              </w:rPr>
              <w:t>416,99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519E1" w:rsidRPr="00E519E1" w:rsidRDefault="00E519E1" w:rsidP="00E519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9E1">
              <w:rPr>
                <w:rFonts w:ascii="Arial" w:hAnsi="Arial" w:cs="Arial"/>
                <w:color w:val="000000"/>
                <w:sz w:val="16"/>
                <w:szCs w:val="16"/>
              </w:rPr>
              <w:t>22.903,56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519E1" w:rsidRPr="00E519E1" w:rsidRDefault="00E519E1" w:rsidP="00E519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9E1">
              <w:rPr>
                <w:rFonts w:ascii="Arial" w:hAnsi="Arial" w:cs="Arial"/>
                <w:color w:val="000000"/>
                <w:sz w:val="16"/>
                <w:szCs w:val="16"/>
              </w:rPr>
              <w:t>5.492,6</w:t>
            </w:r>
          </w:p>
        </w:tc>
      </w:tr>
      <w:tr w:rsidR="00E519E1" w:rsidRPr="00E519E1" w:rsidTr="00E519E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519E1" w:rsidRPr="00E519E1" w:rsidRDefault="00E519E1" w:rsidP="00E51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9E1">
              <w:rPr>
                <w:rFonts w:ascii="Arial" w:hAnsi="Arial" w:cs="Arial"/>
                <w:color w:val="000000"/>
                <w:sz w:val="18"/>
                <w:szCs w:val="18"/>
              </w:rPr>
              <w:t>3238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519E1" w:rsidRPr="00E519E1" w:rsidRDefault="00E519E1" w:rsidP="00E51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9E1">
              <w:rPr>
                <w:rFonts w:ascii="Arial" w:hAnsi="Arial" w:cs="Arial"/>
                <w:color w:val="000000"/>
                <w:sz w:val="18"/>
                <w:szCs w:val="18"/>
              </w:rPr>
              <w:t>Računalne usluge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519E1" w:rsidRPr="00E519E1" w:rsidRDefault="00E519E1" w:rsidP="00E519E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E519E1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519E1" w:rsidRPr="00E519E1" w:rsidRDefault="00E519E1" w:rsidP="00E519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9E1">
              <w:rPr>
                <w:rFonts w:ascii="Arial" w:hAnsi="Arial" w:cs="Arial"/>
                <w:color w:val="000000"/>
                <w:sz w:val="16"/>
                <w:szCs w:val="16"/>
              </w:rPr>
              <w:t>669,35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519E1" w:rsidRPr="00E519E1" w:rsidRDefault="00E519E1" w:rsidP="00E519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9E1">
              <w:rPr>
                <w:rFonts w:ascii="Arial" w:hAnsi="Arial" w:cs="Arial"/>
                <w:color w:val="000000"/>
                <w:sz w:val="16"/>
                <w:szCs w:val="16"/>
              </w:rPr>
              <w:t>1.117,38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519E1" w:rsidRPr="00E519E1" w:rsidRDefault="00E519E1" w:rsidP="00E519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9E1">
              <w:rPr>
                <w:rFonts w:ascii="Arial" w:hAnsi="Arial" w:cs="Arial"/>
                <w:color w:val="000000"/>
                <w:sz w:val="16"/>
                <w:szCs w:val="16"/>
              </w:rPr>
              <w:t>166,9</w:t>
            </w:r>
          </w:p>
        </w:tc>
      </w:tr>
      <w:tr w:rsidR="00E519E1" w:rsidRPr="00E519E1" w:rsidTr="00E519E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519E1" w:rsidRPr="00E519E1" w:rsidRDefault="00E519E1" w:rsidP="00E51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9E1">
              <w:rPr>
                <w:rFonts w:ascii="Arial" w:hAnsi="Arial" w:cs="Arial"/>
                <w:color w:val="000000"/>
                <w:sz w:val="18"/>
                <w:szCs w:val="18"/>
              </w:rPr>
              <w:t>3239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519E1" w:rsidRPr="00E519E1" w:rsidRDefault="00E519E1" w:rsidP="00E51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9E1">
              <w:rPr>
                <w:rFonts w:ascii="Arial" w:hAnsi="Arial" w:cs="Arial"/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519E1" w:rsidRPr="00E519E1" w:rsidRDefault="00E519E1" w:rsidP="00E519E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E519E1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519E1" w:rsidRPr="00E519E1" w:rsidRDefault="00E519E1" w:rsidP="00E519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9E1">
              <w:rPr>
                <w:rFonts w:ascii="Arial" w:hAnsi="Arial" w:cs="Arial"/>
                <w:color w:val="000000"/>
                <w:sz w:val="16"/>
                <w:szCs w:val="16"/>
              </w:rPr>
              <w:t>29,88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519E1" w:rsidRPr="00E519E1" w:rsidRDefault="00E519E1" w:rsidP="00E519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9E1">
              <w:rPr>
                <w:rFonts w:ascii="Arial" w:hAnsi="Arial" w:cs="Arial"/>
                <w:color w:val="000000"/>
                <w:sz w:val="16"/>
                <w:szCs w:val="16"/>
              </w:rPr>
              <w:t>89,63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519E1" w:rsidRPr="00E519E1" w:rsidRDefault="00E519E1" w:rsidP="00E519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9E1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</w:tbl>
    <w:p w:rsidR="001300BC" w:rsidRDefault="001300BC" w:rsidP="00E6240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E519E1" w:rsidRDefault="00E519E1" w:rsidP="00E6240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519E1">
        <w:rPr>
          <w:rFonts w:ascii="Arial" w:hAnsi="Arial" w:cs="Arial"/>
        </w:rPr>
        <w:t>U 2023. godini matična</w:t>
      </w:r>
      <w:r w:rsidR="009B1696">
        <w:rPr>
          <w:rFonts w:ascii="Arial" w:hAnsi="Arial" w:cs="Arial"/>
        </w:rPr>
        <w:t>,</w:t>
      </w:r>
      <w:r w:rsidRPr="00E519E1">
        <w:rPr>
          <w:rFonts w:ascii="Arial" w:hAnsi="Arial" w:cs="Arial"/>
        </w:rPr>
        <w:t xml:space="preserve"> a i područna škola</w:t>
      </w:r>
      <w:r w:rsidR="009B1696">
        <w:rPr>
          <w:rFonts w:ascii="Arial" w:hAnsi="Arial" w:cs="Arial"/>
        </w:rPr>
        <w:t>,</w:t>
      </w:r>
      <w:r w:rsidRPr="00E519E1">
        <w:rPr>
          <w:rFonts w:ascii="Arial" w:hAnsi="Arial" w:cs="Arial"/>
        </w:rPr>
        <w:t xml:space="preserve"> priključene su na sustav odvodnje otpadnih voda te su se iz tog razloga znatno uvećali komunalni rashodi.</w:t>
      </w:r>
      <w:r>
        <w:rPr>
          <w:rFonts w:ascii="Arial" w:hAnsi="Arial" w:cs="Arial"/>
        </w:rPr>
        <w:t xml:space="preserve"> </w:t>
      </w:r>
      <w:r w:rsidR="00AE31B6">
        <w:rPr>
          <w:rFonts w:ascii="Arial" w:hAnsi="Arial" w:cs="Arial"/>
        </w:rPr>
        <w:t xml:space="preserve">U prošloj godini nismo imali liječničke preglede a ove godine jesmo te su zbog toga veći rashodi u odnosu na prošlu godinu. U travnju je završen </w:t>
      </w:r>
      <w:r w:rsidR="00AE31B6">
        <w:rPr>
          <w:rFonts w:ascii="Arial" w:hAnsi="Arial" w:cs="Arial"/>
        </w:rPr>
        <w:lastRenderedPageBreak/>
        <w:t>STEM projekt i isplaćeni su ugovori o djelu zaposlenicima koji su sudjelovali u projektu a rashod je knjižen na računu 3237.</w:t>
      </w:r>
      <w:r w:rsidR="00EE0F39">
        <w:rPr>
          <w:rFonts w:ascii="Arial" w:hAnsi="Arial" w:cs="Arial"/>
        </w:rPr>
        <w:t xml:space="preserve"> U 2024. godini prešli smo na novi financijski program zbog prelaska na riznicu te su iz tog razloga znatno veći rashodi za računalne usluge. </w:t>
      </w:r>
    </w:p>
    <w:p w:rsidR="00EE0F39" w:rsidRPr="00E519E1" w:rsidRDefault="00EE0F39" w:rsidP="00E6240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82DD9" w:rsidRDefault="00782DD9" w:rsidP="00E6240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82DD9">
        <w:rPr>
          <w:rFonts w:ascii="Arial" w:hAnsi="Arial" w:cs="Arial"/>
          <w:b/>
        </w:rPr>
        <w:t xml:space="preserve">Bilješke uz obrazac </w:t>
      </w:r>
      <w:r w:rsidR="003E0BC6">
        <w:rPr>
          <w:rFonts w:ascii="Arial" w:hAnsi="Arial" w:cs="Arial"/>
          <w:b/>
        </w:rPr>
        <w:t>OBVEZE</w:t>
      </w:r>
    </w:p>
    <w:p w:rsidR="00782DD9" w:rsidRDefault="00782DD9" w:rsidP="00E6240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1300BC" w:rsidRDefault="001300BC" w:rsidP="00E6240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82DD9" w:rsidRDefault="00C10114" w:rsidP="00E6240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Bilješka broj </w:t>
      </w:r>
      <w:r w:rsidR="0097589C">
        <w:rPr>
          <w:rFonts w:ascii="Arial" w:hAnsi="Arial" w:cs="Arial"/>
          <w:b/>
        </w:rPr>
        <w:t>9</w:t>
      </w:r>
      <w:r w:rsidR="00782DD9">
        <w:rPr>
          <w:rFonts w:ascii="Arial" w:hAnsi="Arial" w:cs="Arial"/>
          <w:b/>
        </w:rPr>
        <w:t xml:space="preserve">. </w:t>
      </w:r>
    </w:p>
    <w:p w:rsidR="007E2B9F" w:rsidRDefault="007E2B9F" w:rsidP="00E6240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tbl>
      <w:tblPr>
        <w:tblW w:w="11580" w:type="dxa"/>
        <w:tblLook w:val="04A0" w:firstRow="1" w:lastRow="0" w:firstColumn="1" w:lastColumn="0" w:noHBand="0" w:noVBand="1"/>
      </w:tblPr>
      <w:tblGrid>
        <w:gridCol w:w="1960"/>
        <w:gridCol w:w="6380"/>
        <w:gridCol w:w="1960"/>
        <w:gridCol w:w="1280"/>
      </w:tblGrid>
      <w:tr w:rsidR="00DA3AAA" w:rsidRPr="00DA3AAA" w:rsidTr="00DA3AAA">
        <w:trPr>
          <w:trHeight w:val="480"/>
        </w:trPr>
        <w:tc>
          <w:tcPr>
            <w:tcW w:w="196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A3AAA" w:rsidRPr="00DA3AAA" w:rsidRDefault="00DA3AAA" w:rsidP="00DA3AA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3A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A3AAA" w:rsidRPr="00DA3AAA" w:rsidRDefault="00DA3AAA" w:rsidP="00DA3AA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3A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Stanje obveza na kraju izvještajnog razdoblja (šifre V001+V002-V004) i (šifre V007+V009)</w:t>
            </w:r>
          </w:p>
        </w:tc>
        <w:tc>
          <w:tcPr>
            <w:tcW w:w="1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A3AAA" w:rsidRPr="00DA3AAA" w:rsidRDefault="00DA3AAA" w:rsidP="00DA3AA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A3AA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V006</w:t>
            </w:r>
          </w:p>
        </w:tc>
        <w:tc>
          <w:tcPr>
            <w:tcW w:w="12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AAA" w:rsidRPr="00DA3AAA" w:rsidRDefault="00DA3AAA" w:rsidP="00DA3AAA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A3AAA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119.001,59</w:t>
            </w:r>
          </w:p>
        </w:tc>
      </w:tr>
      <w:tr w:rsidR="00DA3AAA" w:rsidRPr="00DA3AAA" w:rsidTr="00DA3AAA">
        <w:trPr>
          <w:trHeight w:val="480"/>
        </w:trPr>
        <w:tc>
          <w:tcPr>
            <w:tcW w:w="196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A3AAA" w:rsidRPr="00DA3AAA" w:rsidRDefault="00DA3AAA" w:rsidP="00DA3AA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3A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A3AAA" w:rsidRPr="00DA3AAA" w:rsidRDefault="00DA3AAA" w:rsidP="00DA3AA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3A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Stanje dospjelih obveza na kraju izvještajnog razdoblja (šifre V008+D23+D24 + 'D dio 25,26')</w:t>
            </w:r>
          </w:p>
        </w:tc>
        <w:tc>
          <w:tcPr>
            <w:tcW w:w="1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A3AAA" w:rsidRPr="00DA3AAA" w:rsidRDefault="00DA3AAA" w:rsidP="00DA3AA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A3AA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V007</w:t>
            </w:r>
          </w:p>
        </w:tc>
        <w:tc>
          <w:tcPr>
            <w:tcW w:w="12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AAA" w:rsidRPr="00DA3AAA" w:rsidRDefault="00DA3AAA" w:rsidP="00DA3AAA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A3AAA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1.500,00</w:t>
            </w:r>
          </w:p>
        </w:tc>
      </w:tr>
      <w:tr w:rsidR="00DA3AAA" w:rsidRPr="007E2B9F" w:rsidTr="007E2B9F">
        <w:trPr>
          <w:trHeight w:val="480"/>
        </w:trPr>
        <w:tc>
          <w:tcPr>
            <w:tcW w:w="196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A3AAA" w:rsidRDefault="00DA3AAA" w:rsidP="00DA3AA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A3AAA" w:rsidRDefault="00DA3AAA" w:rsidP="00DA3AA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Stanje nedospjelih obveza na kraju izvještajnog razdoblja (šifre V010 + ND23 + ND24 + 'ND dio 25,26')</w:t>
            </w:r>
          </w:p>
        </w:tc>
        <w:tc>
          <w:tcPr>
            <w:tcW w:w="1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A3AAA" w:rsidRDefault="00DA3AAA" w:rsidP="00DA3AA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V009</w:t>
            </w:r>
          </w:p>
        </w:tc>
        <w:tc>
          <w:tcPr>
            <w:tcW w:w="12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AAA" w:rsidRDefault="00DA3AAA" w:rsidP="00DA3AAA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117.501,59</w:t>
            </w:r>
          </w:p>
        </w:tc>
      </w:tr>
      <w:tr w:rsidR="00DA3AAA" w:rsidRPr="007E2B9F" w:rsidTr="007E2B9F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A3AAA" w:rsidRDefault="00DA3AAA" w:rsidP="00DA3A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A3AAA" w:rsidRDefault="00DA3AAA" w:rsidP="00DA3A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Međusobne obveze subjekata općeg proračuna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A3AAA" w:rsidRDefault="00DA3AAA" w:rsidP="00DA3AA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V010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AAA" w:rsidRDefault="00DA3AAA" w:rsidP="00DA3A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4.706,32</w:t>
            </w:r>
          </w:p>
        </w:tc>
      </w:tr>
      <w:tr w:rsidR="00DA3AAA" w:rsidRPr="007E2B9F" w:rsidTr="007E2B9F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A3AAA" w:rsidRDefault="00DA3AAA" w:rsidP="00DA3A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A3AAA" w:rsidRDefault="00DA3AAA" w:rsidP="00DA3A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Obveze za rashode poslovanja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A3AAA" w:rsidRDefault="00DA3AAA" w:rsidP="00DA3AA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ND23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AAA" w:rsidRDefault="00DA3AAA" w:rsidP="00DA3A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112.795,27</w:t>
            </w:r>
          </w:p>
        </w:tc>
      </w:tr>
      <w:tr w:rsidR="00DA3AAA" w:rsidRPr="007E2B9F" w:rsidTr="007E2B9F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A3AAA" w:rsidRDefault="00DA3AAA" w:rsidP="00DA3A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A3AAA" w:rsidRDefault="00DA3AAA" w:rsidP="00DA3A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Obveze za nabavu nefinancijske imovine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A3AAA" w:rsidRDefault="00DA3AAA" w:rsidP="00DA3AA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ND24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AAA" w:rsidRDefault="00DA3AAA" w:rsidP="00DA3A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A3AAA" w:rsidRPr="007E2B9F" w:rsidTr="007E2B9F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A3AAA" w:rsidRDefault="00DA3AAA" w:rsidP="00DA3A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dio 25,26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A3AAA" w:rsidRDefault="00DA3AAA" w:rsidP="00DA3A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Obveze za financijsku imovinu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A3AAA" w:rsidRDefault="00DA3AAA" w:rsidP="00DA3AA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ND dio 25,26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AAA" w:rsidRDefault="00DA3AAA" w:rsidP="00DA3A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782DD9" w:rsidRDefault="00782DD9" w:rsidP="00E6240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DA3AAA" w:rsidRDefault="00782DD9" w:rsidP="00DA3AA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2DD9">
        <w:rPr>
          <w:rFonts w:ascii="Arial" w:hAnsi="Arial" w:cs="Arial"/>
        </w:rPr>
        <w:t xml:space="preserve">Stanje obveza na početku </w:t>
      </w:r>
      <w:r>
        <w:rPr>
          <w:rFonts w:ascii="Arial" w:hAnsi="Arial" w:cs="Arial"/>
        </w:rPr>
        <w:t>20</w:t>
      </w:r>
      <w:r w:rsidR="00593208">
        <w:rPr>
          <w:rFonts w:ascii="Arial" w:hAnsi="Arial" w:cs="Arial"/>
        </w:rPr>
        <w:t>2</w:t>
      </w:r>
      <w:r w:rsidR="00EE0F3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  <w:r w:rsidRPr="00782DD9">
        <w:rPr>
          <w:rFonts w:ascii="Arial" w:hAnsi="Arial" w:cs="Arial"/>
        </w:rPr>
        <w:t xml:space="preserve">godine </w:t>
      </w:r>
      <w:r>
        <w:rPr>
          <w:rFonts w:ascii="Arial" w:hAnsi="Arial" w:cs="Arial"/>
        </w:rPr>
        <w:t xml:space="preserve">kao i stanje obveza na kraju </w:t>
      </w:r>
      <w:r w:rsidR="007E2B9F">
        <w:rPr>
          <w:rFonts w:ascii="Arial" w:hAnsi="Arial" w:cs="Arial"/>
        </w:rPr>
        <w:t xml:space="preserve">izvještajnog razdoblja </w:t>
      </w:r>
      <w:r>
        <w:rPr>
          <w:rFonts w:ascii="Arial" w:hAnsi="Arial" w:cs="Arial"/>
        </w:rPr>
        <w:t>odnos</w:t>
      </w:r>
      <w:r w:rsidR="007E2B9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se na obveze za p</w:t>
      </w:r>
      <w:r w:rsidR="0063087C">
        <w:rPr>
          <w:rFonts w:ascii="Arial" w:hAnsi="Arial" w:cs="Arial"/>
        </w:rPr>
        <w:t xml:space="preserve">laću zaposlenih </w:t>
      </w:r>
      <w:r>
        <w:rPr>
          <w:rFonts w:ascii="Arial" w:hAnsi="Arial" w:cs="Arial"/>
        </w:rPr>
        <w:t xml:space="preserve">te na obveze koje su nastale u </w:t>
      </w:r>
      <w:r w:rsidR="007E2B9F">
        <w:rPr>
          <w:rFonts w:ascii="Arial" w:hAnsi="Arial" w:cs="Arial"/>
        </w:rPr>
        <w:t>lipnju 202</w:t>
      </w:r>
      <w:r w:rsidR="00EE0F39">
        <w:rPr>
          <w:rFonts w:ascii="Arial" w:hAnsi="Arial" w:cs="Arial"/>
        </w:rPr>
        <w:t>4</w:t>
      </w:r>
      <w:r w:rsidR="007E2B9F">
        <w:rPr>
          <w:rFonts w:ascii="Arial" w:hAnsi="Arial" w:cs="Arial"/>
        </w:rPr>
        <w:t>.</w:t>
      </w:r>
      <w:r w:rsidR="009B169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biti će plaćene početkom s</w:t>
      </w:r>
      <w:r w:rsidR="007E2B9F">
        <w:rPr>
          <w:rFonts w:ascii="Arial" w:hAnsi="Arial" w:cs="Arial"/>
        </w:rPr>
        <w:t>rpnja</w:t>
      </w:r>
      <w:r>
        <w:rPr>
          <w:rFonts w:ascii="Arial" w:hAnsi="Arial" w:cs="Arial"/>
        </w:rPr>
        <w:t xml:space="preserve"> 20</w:t>
      </w:r>
      <w:r w:rsidR="0063087C">
        <w:rPr>
          <w:rFonts w:ascii="Arial" w:hAnsi="Arial" w:cs="Arial"/>
        </w:rPr>
        <w:t>2</w:t>
      </w:r>
      <w:r w:rsidR="00EE0F39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A50A42">
        <w:rPr>
          <w:rFonts w:ascii="Arial" w:hAnsi="Arial" w:cs="Arial"/>
        </w:rPr>
        <w:t xml:space="preserve"> godine.</w:t>
      </w:r>
      <w:r w:rsidR="00D35961">
        <w:rPr>
          <w:rFonts w:ascii="Arial" w:hAnsi="Arial" w:cs="Arial"/>
        </w:rPr>
        <w:t xml:space="preserve"> </w:t>
      </w:r>
      <w:r w:rsidR="00DA3AAA">
        <w:rPr>
          <w:rFonts w:ascii="Arial" w:hAnsi="Arial" w:cs="Arial"/>
        </w:rPr>
        <w:t xml:space="preserve">Međusobne obveze subjekata općeg proračuna odnosi se na obveze za povrat u proračun sredstava koje refundira HZZO za bolovanje iznad 42 dana i na sredstva dobivena od OŠ A. i S. Radića Gunja iz kredita za privremeno financiranje projekta </w:t>
      </w:r>
      <w:proofErr w:type="spellStart"/>
      <w:r w:rsidR="00DA3AAA">
        <w:rPr>
          <w:rFonts w:ascii="Arial" w:hAnsi="Arial" w:cs="Arial"/>
        </w:rPr>
        <w:t>STEMajmo</w:t>
      </w:r>
      <w:proofErr w:type="spellEnd"/>
      <w:r w:rsidR="00DA3AAA">
        <w:rPr>
          <w:rFonts w:ascii="Arial" w:hAnsi="Arial" w:cs="Arial"/>
        </w:rPr>
        <w:t xml:space="preserve">. Dospjele obveze u iznosu od 1.500,00 eura odnosi se na obveze za saniranje štete na Područnoj školi u </w:t>
      </w:r>
      <w:proofErr w:type="spellStart"/>
      <w:r w:rsidR="009B1696">
        <w:rPr>
          <w:rFonts w:ascii="Arial" w:hAnsi="Arial" w:cs="Arial"/>
        </w:rPr>
        <w:t>Šiškovcima</w:t>
      </w:r>
      <w:proofErr w:type="spellEnd"/>
      <w:r w:rsidR="009B1696">
        <w:rPr>
          <w:rFonts w:ascii="Arial" w:hAnsi="Arial" w:cs="Arial"/>
        </w:rPr>
        <w:t>. Po primitku sredstava od O</w:t>
      </w:r>
      <w:r w:rsidR="00DA3AAA">
        <w:rPr>
          <w:rFonts w:ascii="Arial" w:hAnsi="Arial" w:cs="Arial"/>
        </w:rPr>
        <w:t>snivača račun će biti podmiren.</w:t>
      </w:r>
    </w:p>
    <w:p w:rsidR="00DA3AAA" w:rsidRPr="00782DD9" w:rsidRDefault="00DA3AAA" w:rsidP="00DA3AA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01F0" w:rsidRDefault="000A01F0" w:rsidP="00DA3AA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proofErr w:type="spellStart"/>
      <w:r w:rsidR="00A05CF6">
        <w:rPr>
          <w:rFonts w:ascii="Arial" w:hAnsi="Arial" w:cs="Arial"/>
        </w:rPr>
        <w:t>Cerni</w:t>
      </w:r>
      <w:proofErr w:type="spellEnd"/>
      <w:r w:rsidR="00A05CF6">
        <w:rPr>
          <w:rFonts w:ascii="Arial" w:hAnsi="Arial" w:cs="Arial"/>
        </w:rPr>
        <w:t xml:space="preserve">, </w:t>
      </w:r>
      <w:r w:rsidR="00FF7B43">
        <w:rPr>
          <w:rFonts w:ascii="Arial" w:hAnsi="Arial" w:cs="Arial"/>
        </w:rPr>
        <w:t xml:space="preserve">dana </w:t>
      </w:r>
      <w:r w:rsidR="00DA3AAA">
        <w:rPr>
          <w:rFonts w:ascii="Arial" w:hAnsi="Arial" w:cs="Arial"/>
        </w:rPr>
        <w:t>9</w:t>
      </w:r>
      <w:r w:rsidR="007E2B9F">
        <w:rPr>
          <w:rFonts w:ascii="Arial" w:hAnsi="Arial" w:cs="Arial"/>
        </w:rPr>
        <w:t>. srpnja</w:t>
      </w:r>
      <w:r w:rsidR="00A05CF6">
        <w:rPr>
          <w:rFonts w:ascii="Arial" w:hAnsi="Arial" w:cs="Arial"/>
        </w:rPr>
        <w:t xml:space="preserve"> 20</w:t>
      </w:r>
      <w:r w:rsidR="00D35961">
        <w:rPr>
          <w:rFonts w:ascii="Arial" w:hAnsi="Arial" w:cs="Arial"/>
        </w:rPr>
        <w:t>2</w:t>
      </w:r>
      <w:r w:rsidR="00DA3AAA">
        <w:rPr>
          <w:rFonts w:ascii="Arial" w:hAnsi="Arial" w:cs="Arial"/>
        </w:rPr>
        <w:t>4</w:t>
      </w:r>
      <w:r w:rsidR="00A05CF6">
        <w:rPr>
          <w:rFonts w:ascii="Arial" w:hAnsi="Arial" w:cs="Arial"/>
        </w:rPr>
        <w:t xml:space="preserve">. </w:t>
      </w:r>
    </w:p>
    <w:p w:rsidR="00C10114" w:rsidRDefault="00C10114" w:rsidP="000A01F0">
      <w:pPr>
        <w:autoSpaceDE w:val="0"/>
        <w:autoSpaceDN w:val="0"/>
        <w:adjustRightInd w:val="0"/>
        <w:rPr>
          <w:rFonts w:ascii="Arial" w:hAnsi="Arial" w:cs="Arial"/>
        </w:rPr>
      </w:pPr>
    </w:p>
    <w:p w:rsidR="000A01F0" w:rsidRDefault="000A01F0" w:rsidP="00C82A9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630A0" w:rsidRDefault="003630A0" w:rsidP="00C82A9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za kontaktiranje: </w:t>
      </w:r>
      <w:r w:rsidR="00FF7B43">
        <w:rPr>
          <w:rFonts w:ascii="Arial" w:hAnsi="Arial" w:cs="Arial"/>
        </w:rPr>
        <w:t>MARIJA BULJEVIĆ</w:t>
      </w:r>
    </w:p>
    <w:p w:rsidR="00FF7B43" w:rsidRDefault="00FF7B43" w:rsidP="003630A0">
      <w:pPr>
        <w:autoSpaceDE w:val="0"/>
        <w:autoSpaceDN w:val="0"/>
        <w:adjustRightInd w:val="0"/>
        <w:rPr>
          <w:rFonts w:ascii="Arial" w:hAnsi="Arial" w:cs="Arial"/>
        </w:rPr>
      </w:pPr>
    </w:p>
    <w:p w:rsidR="003630A0" w:rsidRDefault="00FF7B43" w:rsidP="003630A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Telefon za kontakt: 032/844-948</w:t>
      </w:r>
      <w:r w:rsidR="003630A0">
        <w:rPr>
          <w:rFonts w:ascii="Arial" w:hAnsi="Arial" w:cs="Arial"/>
        </w:rPr>
        <w:tab/>
      </w:r>
      <w:r w:rsidR="003630A0">
        <w:rPr>
          <w:rFonts w:ascii="Arial" w:hAnsi="Arial" w:cs="Arial"/>
        </w:rPr>
        <w:tab/>
      </w:r>
      <w:r w:rsidR="003630A0">
        <w:rPr>
          <w:rFonts w:ascii="Arial" w:hAnsi="Arial" w:cs="Arial"/>
        </w:rPr>
        <w:tab/>
      </w:r>
      <w:r w:rsidR="003630A0">
        <w:rPr>
          <w:rFonts w:ascii="Arial" w:hAnsi="Arial" w:cs="Arial"/>
        </w:rPr>
        <w:tab/>
      </w:r>
      <w:r w:rsidR="00C10114">
        <w:rPr>
          <w:rFonts w:ascii="Arial" w:hAnsi="Arial" w:cs="Arial"/>
        </w:rPr>
        <w:t xml:space="preserve">                                                                                  </w:t>
      </w:r>
      <w:r>
        <w:rPr>
          <w:rFonts w:ascii="Arial" w:hAnsi="Arial" w:cs="Arial"/>
        </w:rPr>
        <w:t>Odgovorna osoba</w:t>
      </w:r>
    </w:p>
    <w:p w:rsidR="003630A0" w:rsidRDefault="003630A0" w:rsidP="003630A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630A0" w:rsidRDefault="00FF7B43" w:rsidP="003630A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Odgovorna osoba: </w:t>
      </w:r>
      <w:r w:rsidR="00593208">
        <w:rPr>
          <w:rFonts w:ascii="Arial" w:hAnsi="Arial" w:cs="Arial"/>
        </w:rPr>
        <w:t>MATO BOŠKOVIĆ</w:t>
      </w:r>
      <w:r>
        <w:rPr>
          <w:rFonts w:ascii="Arial" w:hAnsi="Arial" w:cs="Arial"/>
        </w:rPr>
        <w:t>, prof.</w:t>
      </w:r>
      <w:r w:rsidR="00E62404">
        <w:rPr>
          <w:rFonts w:ascii="Arial" w:hAnsi="Arial" w:cs="Arial"/>
        </w:rPr>
        <w:tab/>
      </w:r>
      <w:r w:rsidR="00E62404">
        <w:rPr>
          <w:rFonts w:ascii="Arial" w:hAnsi="Arial" w:cs="Arial"/>
        </w:rPr>
        <w:tab/>
      </w:r>
      <w:r w:rsidR="00E62404">
        <w:rPr>
          <w:rFonts w:ascii="Arial" w:hAnsi="Arial" w:cs="Arial"/>
        </w:rPr>
        <w:tab/>
      </w:r>
      <w:r w:rsidR="00C10114">
        <w:rPr>
          <w:rFonts w:ascii="Arial" w:hAnsi="Arial" w:cs="Arial"/>
        </w:rPr>
        <w:t xml:space="preserve">                    </w:t>
      </w:r>
      <w:r w:rsidR="00E62404">
        <w:rPr>
          <w:rFonts w:ascii="Arial" w:hAnsi="Arial" w:cs="Arial"/>
        </w:rPr>
        <w:tab/>
      </w:r>
      <w:r w:rsidR="003630A0">
        <w:rPr>
          <w:rFonts w:ascii="Arial" w:hAnsi="Arial" w:cs="Arial"/>
        </w:rPr>
        <w:t xml:space="preserve">  M. P. </w:t>
      </w:r>
    </w:p>
    <w:p w:rsidR="003630A0" w:rsidRDefault="003630A0" w:rsidP="00FF7B4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62404">
        <w:rPr>
          <w:rFonts w:ascii="Arial" w:hAnsi="Arial" w:cs="Arial"/>
        </w:rPr>
        <w:tab/>
      </w:r>
      <w:r w:rsidR="00E62404">
        <w:rPr>
          <w:rFonts w:ascii="Arial" w:hAnsi="Arial" w:cs="Arial"/>
        </w:rPr>
        <w:tab/>
      </w:r>
      <w:r w:rsidR="00E62404">
        <w:rPr>
          <w:rFonts w:ascii="Arial" w:hAnsi="Arial" w:cs="Arial"/>
        </w:rPr>
        <w:tab/>
      </w:r>
      <w:r w:rsidR="00E62404">
        <w:rPr>
          <w:rFonts w:ascii="Arial" w:hAnsi="Arial" w:cs="Arial"/>
        </w:rPr>
        <w:tab/>
      </w:r>
      <w:r w:rsidR="00E62404">
        <w:rPr>
          <w:rFonts w:ascii="Arial" w:hAnsi="Arial" w:cs="Arial"/>
        </w:rPr>
        <w:tab/>
      </w:r>
      <w:r w:rsidR="00E62404">
        <w:rPr>
          <w:rFonts w:ascii="Arial" w:hAnsi="Arial" w:cs="Arial"/>
        </w:rPr>
        <w:tab/>
      </w:r>
      <w:r w:rsidR="00C10114">
        <w:rPr>
          <w:rFonts w:ascii="Arial" w:hAnsi="Arial" w:cs="Arial"/>
        </w:rPr>
        <w:t xml:space="preserve">                                                  </w:t>
      </w:r>
      <w:r>
        <w:rPr>
          <w:rFonts w:ascii="Arial" w:hAnsi="Arial" w:cs="Arial"/>
        </w:rPr>
        <w:t xml:space="preserve">     ______________________</w:t>
      </w:r>
    </w:p>
    <w:p w:rsidR="003630A0" w:rsidRDefault="003630A0" w:rsidP="003630A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62404">
        <w:rPr>
          <w:rFonts w:ascii="Arial" w:hAnsi="Arial" w:cs="Arial"/>
        </w:rPr>
        <w:tab/>
      </w:r>
      <w:r w:rsidR="00E62404">
        <w:rPr>
          <w:rFonts w:ascii="Arial" w:hAnsi="Arial" w:cs="Arial"/>
        </w:rPr>
        <w:tab/>
      </w:r>
      <w:r w:rsidR="00C10114">
        <w:rPr>
          <w:rFonts w:ascii="Arial" w:hAnsi="Arial" w:cs="Arial"/>
        </w:rPr>
        <w:t xml:space="preserve">                                                                     </w:t>
      </w:r>
      <w:r w:rsidR="00FF7B43">
        <w:rPr>
          <w:rFonts w:ascii="Arial" w:hAnsi="Arial" w:cs="Arial"/>
        </w:rPr>
        <w:t>(potpis)</w:t>
      </w:r>
    </w:p>
    <w:sectPr w:rsidR="003630A0" w:rsidSect="00C10114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324E9"/>
    <w:multiLevelType w:val="hybridMultilevel"/>
    <w:tmpl w:val="3F0AED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7522A"/>
    <w:multiLevelType w:val="multilevel"/>
    <w:tmpl w:val="76120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831" w:hanging="405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41372260"/>
    <w:multiLevelType w:val="hybridMultilevel"/>
    <w:tmpl w:val="E99EE8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E0BC4"/>
    <w:multiLevelType w:val="hybridMultilevel"/>
    <w:tmpl w:val="C1544228"/>
    <w:lvl w:ilvl="0" w:tplc="1C100C4A">
      <w:numFmt w:val="bullet"/>
      <w:lvlText w:val="-"/>
      <w:lvlJc w:val="left"/>
      <w:pPr>
        <w:ind w:left="172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A0"/>
    <w:rsid w:val="00033EEA"/>
    <w:rsid w:val="000365D6"/>
    <w:rsid w:val="00037CEF"/>
    <w:rsid w:val="00041BD9"/>
    <w:rsid w:val="00050078"/>
    <w:rsid w:val="00054445"/>
    <w:rsid w:val="0005767D"/>
    <w:rsid w:val="00081708"/>
    <w:rsid w:val="00081726"/>
    <w:rsid w:val="00082B6C"/>
    <w:rsid w:val="0009722F"/>
    <w:rsid w:val="000A01F0"/>
    <w:rsid w:val="000B4A95"/>
    <w:rsid w:val="000B53B5"/>
    <w:rsid w:val="000C7FA4"/>
    <w:rsid w:val="000D70D6"/>
    <w:rsid w:val="000D7EFA"/>
    <w:rsid w:val="000E09AE"/>
    <w:rsid w:val="0012475C"/>
    <w:rsid w:val="001300BC"/>
    <w:rsid w:val="00141617"/>
    <w:rsid w:val="00162D6E"/>
    <w:rsid w:val="00196970"/>
    <w:rsid w:val="001978BA"/>
    <w:rsid w:val="001E2727"/>
    <w:rsid w:val="0020514C"/>
    <w:rsid w:val="002069F9"/>
    <w:rsid w:val="002225B8"/>
    <w:rsid w:val="00263F36"/>
    <w:rsid w:val="00286A78"/>
    <w:rsid w:val="00297055"/>
    <w:rsid w:val="002A5821"/>
    <w:rsid w:val="002B1B84"/>
    <w:rsid w:val="002C1FB6"/>
    <w:rsid w:val="002E3542"/>
    <w:rsid w:val="002F3919"/>
    <w:rsid w:val="00302BE7"/>
    <w:rsid w:val="003344EB"/>
    <w:rsid w:val="003630A0"/>
    <w:rsid w:val="00363406"/>
    <w:rsid w:val="00373AC5"/>
    <w:rsid w:val="00374879"/>
    <w:rsid w:val="00375333"/>
    <w:rsid w:val="00377655"/>
    <w:rsid w:val="00387819"/>
    <w:rsid w:val="003A713A"/>
    <w:rsid w:val="003B10FF"/>
    <w:rsid w:val="003B625B"/>
    <w:rsid w:val="003D72CD"/>
    <w:rsid w:val="003E0BC6"/>
    <w:rsid w:val="003E18B8"/>
    <w:rsid w:val="003E6329"/>
    <w:rsid w:val="003E75D0"/>
    <w:rsid w:val="0040465C"/>
    <w:rsid w:val="00405162"/>
    <w:rsid w:val="00421553"/>
    <w:rsid w:val="00423A51"/>
    <w:rsid w:val="004305FD"/>
    <w:rsid w:val="00441628"/>
    <w:rsid w:val="00447355"/>
    <w:rsid w:val="004624EA"/>
    <w:rsid w:val="00466EF0"/>
    <w:rsid w:val="00471C09"/>
    <w:rsid w:val="00473FE6"/>
    <w:rsid w:val="004A45BF"/>
    <w:rsid w:val="004A7450"/>
    <w:rsid w:val="004B36DE"/>
    <w:rsid w:val="004B6BFA"/>
    <w:rsid w:val="004B7992"/>
    <w:rsid w:val="004F5E00"/>
    <w:rsid w:val="00502E62"/>
    <w:rsid w:val="00511314"/>
    <w:rsid w:val="0051569B"/>
    <w:rsid w:val="005504F0"/>
    <w:rsid w:val="00592E74"/>
    <w:rsid w:val="00593208"/>
    <w:rsid w:val="005957BA"/>
    <w:rsid w:val="005A4707"/>
    <w:rsid w:val="005B6DD2"/>
    <w:rsid w:val="005D2311"/>
    <w:rsid w:val="005E141B"/>
    <w:rsid w:val="005E6E14"/>
    <w:rsid w:val="005F1461"/>
    <w:rsid w:val="00614F59"/>
    <w:rsid w:val="00617890"/>
    <w:rsid w:val="00624022"/>
    <w:rsid w:val="0063087C"/>
    <w:rsid w:val="00642FCF"/>
    <w:rsid w:val="00657C9D"/>
    <w:rsid w:val="0066778E"/>
    <w:rsid w:val="00681E8E"/>
    <w:rsid w:val="00696204"/>
    <w:rsid w:val="006B78BD"/>
    <w:rsid w:val="006D578E"/>
    <w:rsid w:val="006E7C6D"/>
    <w:rsid w:val="007168AA"/>
    <w:rsid w:val="007266C7"/>
    <w:rsid w:val="007372D3"/>
    <w:rsid w:val="00782797"/>
    <w:rsid w:val="00782DD9"/>
    <w:rsid w:val="007A2297"/>
    <w:rsid w:val="007B36FA"/>
    <w:rsid w:val="007B6C15"/>
    <w:rsid w:val="007C4E91"/>
    <w:rsid w:val="007C66AF"/>
    <w:rsid w:val="007D23E1"/>
    <w:rsid w:val="007E2B9F"/>
    <w:rsid w:val="007F17C3"/>
    <w:rsid w:val="007F50AD"/>
    <w:rsid w:val="00804843"/>
    <w:rsid w:val="00804E38"/>
    <w:rsid w:val="008117D2"/>
    <w:rsid w:val="00820F9B"/>
    <w:rsid w:val="00832F40"/>
    <w:rsid w:val="008378B6"/>
    <w:rsid w:val="008526D4"/>
    <w:rsid w:val="008A2BDB"/>
    <w:rsid w:val="008E53E5"/>
    <w:rsid w:val="008E6E19"/>
    <w:rsid w:val="008F7B60"/>
    <w:rsid w:val="009071F3"/>
    <w:rsid w:val="00910784"/>
    <w:rsid w:val="00946C49"/>
    <w:rsid w:val="009474BC"/>
    <w:rsid w:val="009523F2"/>
    <w:rsid w:val="00955F11"/>
    <w:rsid w:val="009707E2"/>
    <w:rsid w:val="0097589C"/>
    <w:rsid w:val="009A317A"/>
    <w:rsid w:val="009B1696"/>
    <w:rsid w:val="009B6CDA"/>
    <w:rsid w:val="009C479D"/>
    <w:rsid w:val="009C5BFB"/>
    <w:rsid w:val="009D3F48"/>
    <w:rsid w:val="009F1FD5"/>
    <w:rsid w:val="009F7067"/>
    <w:rsid w:val="00A01529"/>
    <w:rsid w:val="00A05CF6"/>
    <w:rsid w:val="00A11D09"/>
    <w:rsid w:val="00A11EC7"/>
    <w:rsid w:val="00A201F6"/>
    <w:rsid w:val="00A23F02"/>
    <w:rsid w:val="00A26212"/>
    <w:rsid w:val="00A27BFA"/>
    <w:rsid w:val="00A37D6B"/>
    <w:rsid w:val="00A400C3"/>
    <w:rsid w:val="00A418F7"/>
    <w:rsid w:val="00A50A42"/>
    <w:rsid w:val="00A52134"/>
    <w:rsid w:val="00A76C21"/>
    <w:rsid w:val="00A95D7A"/>
    <w:rsid w:val="00AC492D"/>
    <w:rsid w:val="00AD55F2"/>
    <w:rsid w:val="00AE31B6"/>
    <w:rsid w:val="00AF20BC"/>
    <w:rsid w:val="00B11268"/>
    <w:rsid w:val="00B14D3D"/>
    <w:rsid w:val="00B1522A"/>
    <w:rsid w:val="00B20131"/>
    <w:rsid w:val="00B41CD9"/>
    <w:rsid w:val="00B53AFF"/>
    <w:rsid w:val="00B853B7"/>
    <w:rsid w:val="00BA2F6F"/>
    <w:rsid w:val="00BA5984"/>
    <w:rsid w:val="00BA774B"/>
    <w:rsid w:val="00BA7E10"/>
    <w:rsid w:val="00BE2E27"/>
    <w:rsid w:val="00BF07D3"/>
    <w:rsid w:val="00BF7871"/>
    <w:rsid w:val="00C0118C"/>
    <w:rsid w:val="00C10114"/>
    <w:rsid w:val="00C10914"/>
    <w:rsid w:val="00C23750"/>
    <w:rsid w:val="00C55F27"/>
    <w:rsid w:val="00C82A9B"/>
    <w:rsid w:val="00C84B4D"/>
    <w:rsid w:val="00CF1805"/>
    <w:rsid w:val="00CF625D"/>
    <w:rsid w:val="00D131E7"/>
    <w:rsid w:val="00D342B3"/>
    <w:rsid w:val="00D35961"/>
    <w:rsid w:val="00D46934"/>
    <w:rsid w:val="00D65F10"/>
    <w:rsid w:val="00DA3AAA"/>
    <w:rsid w:val="00DA5768"/>
    <w:rsid w:val="00DA617F"/>
    <w:rsid w:val="00DB3CD9"/>
    <w:rsid w:val="00DC49DE"/>
    <w:rsid w:val="00DF5113"/>
    <w:rsid w:val="00E065C9"/>
    <w:rsid w:val="00E20893"/>
    <w:rsid w:val="00E35614"/>
    <w:rsid w:val="00E519E1"/>
    <w:rsid w:val="00E616A1"/>
    <w:rsid w:val="00E62404"/>
    <w:rsid w:val="00E71F2C"/>
    <w:rsid w:val="00E80799"/>
    <w:rsid w:val="00E93686"/>
    <w:rsid w:val="00E94440"/>
    <w:rsid w:val="00EA276C"/>
    <w:rsid w:val="00EC6260"/>
    <w:rsid w:val="00EE0F39"/>
    <w:rsid w:val="00EE7439"/>
    <w:rsid w:val="00F11BEB"/>
    <w:rsid w:val="00F23DF5"/>
    <w:rsid w:val="00F457D0"/>
    <w:rsid w:val="00F64C6D"/>
    <w:rsid w:val="00F96F5C"/>
    <w:rsid w:val="00FB7527"/>
    <w:rsid w:val="00FD0769"/>
    <w:rsid w:val="00FD3652"/>
    <w:rsid w:val="00FD629C"/>
    <w:rsid w:val="00FE28EA"/>
    <w:rsid w:val="00FE43FA"/>
    <w:rsid w:val="00FE58F8"/>
    <w:rsid w:val="00FF1462"/>
    <w:rsid w:val="00FF576A"/>
    <w:rsid w:val="00FF7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EF539-4F92-4D7A-9A38-D793CA61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630A0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3630A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630A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30A0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rsid w:val="006240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Odlomakpopisa1">
    <w:name w:val="Odlomak popisa1"/>
    <w:basedOn w:val="Normal"/>
    <w:qFormat/>
    <w:rsid w:val="007B6C15"/>
    <w:pPr>
      <w:spacing w:after="200"/>
      <w:ind w:left="720"/>
      <w:contextualSpacing/>
    </w:pPr>
    <w:rPr>
      <w:rFonts w:ascii="Arial" w:eastAsia="Calibri" w:hAnsi="Arial" w:cs="Arial"/>
      <w:sz w:val="22"/>
      <w:szCs w:val="22"/>
      <w:lang w:eastAsia="en-US"/>
    </w:rPr>
  </w:style>
  <w:style w:type="character" w:styleId="Istaknuto">
    <w:name w:val="Emphasis"/>
    <w:basedOn w:val="Zadanifontodlomka"/>
    <w:uiPriority w:val="20"/>
    <w:qFormat/>
    <w:rsid w:val="00EA276C"/>
    <w:rPr>
      <w:i/>
      <w:iCs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B53B5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slovChar">
    <w:name w:val="Podnaslov Char"/>
    <w:basedOn w:val="Zadanifontodlomka"/>
    <w:link w:val="Podnaslov"/>
    <w:uiPriority w:val="11"/>
    <w:rsid w:val="000B53B5"/>
    <w:rPr>
      <w:rFonts w:eastAsiaTheme="minorEastAsia"/>
      <w:color w:val="5A5A5A" w:themeColor="text1" w:themeTint="A5"/>
      <w:spacing w:val="15"/>
    </w:rPr>
  </w:style>
  <w:style w:type="character" w:styleId="Neupadljivoisticanje">
    <w:name w:val="Subtle Emphasis"/>
    <w:basedOn w:val="Zadanifontodlomka"/>
    <w:uiPriority w:val="19"/>
    <w:qFormat/>
    <w:rsid w:val="000B53B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68776-A4A7-463B-8FCA-78F544B7B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1524</Words>
  <Characters>8687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</dc:creator>
  <cp:lastModifiedBy>Marija-računovodstvo</cp:lastModifiedBy>
  <cp:revision>2</cp:revision>
  <cp:lastPrinted>2023-07-10T09:24:00Z</cp:lastPrinted>
  <dcterms:created xsi:type="dcterms:W3CDTF">2024-07-10T09:34:00Z</dcterms:created>
  <dcterms:modified xsi:type="dcterms:W3CDTF">2024-07-10T09:34:00Z</dcterms:modified>
</cp:coreProperties>
</file>