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572d86a655524207"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10250</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O.Š. MATIJA ANTUN RELJKOVIĆ, CERNA</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31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VI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805.345,47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856.899,19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902.309,22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842.106,81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14.792,38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10.965,79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2.423,68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10.965,79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2.423,68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22,1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12.368,70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U razdoblju od 1. siječnja do 30. lipnja 2026. ostvarili smo 856.899,19 EUR prihoda poslovanja. Najznačajnije povećanje prihoda ostvareno je kod tekućih pomoći temeljem prijenosa EU sredstava, a najznačajnije smanjenje imamo kod kapitalnih donacija iz razloga što smo u 2025. godini imali dvije kapitalne donacije uredskog namještaja i računala a u 2026. samo dvije manje donacije knjiga za školsku knjižnicu.  Rashodi poslovanja u razdoblju od 1. siječnja do 30. lipnja 2026. ostvareni su u iznosu od 842.106,81 EUR. Ostvareno je značajnije povećanje na rashodima za usluge promidžbe i informiranja iz razloga što smo ove godine imali natječaj za izbor ravnatelja. Bilježimo i veći indeks povećanja kod zateznih kamata u odnosu na prošlu godinu. Najveće smanjenje bilježimo na rashodima za Sitni inventar.  U navedenom razdoblju nema ostvarenih prihoda od prodaje nefinancijske imovine, dok su rashodi za nabavu nefinancijske imovine ostvareni u iznosu od 2.423,68 EUR. Navedeni rashodi odnose se na nabavu računala i printera te na nabavu knjiga za školsku knjižnicu. U razdoblju od 1. siječnja do 30. lipnja 2026. godine ostvaren je višak prihoda poslovanja u iznosu od 14.792,38 EUR, manjak prihoda od nefinancijske imovine 2.423,68 EUR, slijedom čega je izvještajno razdoblje završeno viškom prihoda i primitaka u iznosu od 12.368,70 EUR.</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827,89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2.631,64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317,9</w:t>
            </w:r>
          </w:p>
        </w:tc>
      </w:tr>
    </w:tbl>
    <w:p>
      <w:pPr>
        <w:spacing w:before="0" w:after="0"/>
      </w:pPr>
    </w:p>
    <w:p>
      <w:r>
        <w:t xml:space="preserve">Tekuće pomoći temeljem prijenosa EU sredstava u iznosu od 2.631,64 EUR odnose se na dio sredstava iz EU za projekte Školsko mlijeko i Školsko voće i povrće.</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donacije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6.262,49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158,63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w:t>
            </w:r>
          </w:p>
        </w:tc>
      </w:tr>
    </w:tbl>
    <w:p>
      <w:pPr>
        <w:spacing w:before="0" w:after="0"/>
      </w:pPr>
    </w:p>
    <w:p>
      <w:r>
        <w:t xml:space="preserve">U istom razdoblju prošle godine imali smo dvije značajnije kapitalne donacije dok smo ove godine imali samo dvije manje donacije knjiga za Školsku knjižnicu te je iz tog razloga indeks puno manji.  </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2.310,00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1.620,00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70,1</w:t>
            </w:r>
          </w:p>
        </w:tc>
      </w:tr>
    </w:tbl>
    <w:p>
      <w:pPr>
        <w:spacing w:before="0" w:after="0"/>
      </w:pPr>
    </w:p>
    <w:p>
      <w:r>
        <w:t xml:space="preserve">Temeljem upute osnivača od 2024. godine, prihode od najma školske sportske dvorane i najma učionica knjižimo na 6615 Prihodi od pruženih usluga i 6831 Ostali prihodi (ostali prihodi se odnose na sredstva za čišćenje i sl.).</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Plaće za prekovremeni rad</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8.673,43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3.169,74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36,5</w:t>
            </w:r>
          </w:p>
        </w:tc>
      </w:tr>
    </w:tbl>
    <w:p>
      <w:pPr>
        <w:spacing w:before="0" w:after="0"/>
      </w:pPr>
    </w:p>
    <w:p>
      <w:r>
        <w:t xml:space="preserve">U ovom razdoblju imali smo puno manje odsutnih zaposlenika pa samim tim i manje izvršenje plaće za prekovremeni rad u odnosu na isto razdoblje prošle godine. </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rashodi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19.762,16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25.531,80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129,2</w:t>
            </w:r>
          </w:p>
        </w:tc>
      </w:tr>
    </w:tbl>
    <w:p>
      <w:pPr>
        <w:spacing w:before="0" w:after="0"/>
      </w:pPr>
    </w:p>
    <w:p>
      <w:r>
        <w:t xml:space="preserve">Jedan od razloga povećanja je što nam je u siječnju otišla jedna zaposlenica u mirovinu te smo joj isplatili otpremninu te u većem broju isplata za jubilarne nagrade.</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promidžbe i informiranja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857,75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 svibnju 2026. imali smo izbor za ravnatelja te smo morali objaviti oglas za izbor ravnatelja u službenom glasilu iz tog razloga ove godine imamo izvršenje na rashodima  za usluge promidžbe i informiranja.</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337,5</w:t>
            </w:r>
          </w:p>
        </w:tc>
      </w:tr>
    </w:tbl>
    <w:p>
      <w:pPr>
        <w:spacing w:before="0" w:after="0"/>
      </w:pPr>
    </w:p>
    <w:p>
      <w:r>
        <w:t xml:space="preserve">Zbog smanjene vidljivosti u učionicama na katu a i zbog nedostatka potrebne opreme za održavanje istih na velikim visinama bili smo primorani angažirati vanjskog pružatelja usluga za čišćenje prozora.</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Zatezne kamate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1236,7</w:t>
            </w:r>
          </w:p>
        </w:tc>
      </w:tr>
    </w:tbl>
    <w:p>
      <w:pPr>
        <w:spacing w:before="0" w:after="0"/>
      </w:pPr>
    </w:p>
    <w:p>
      <w:r>
        <w:t xml:space="preserve">Prelaskom na riznicu jedan račun od FINE se nije izvršio te su iz tog razloga veći rashodi za zatezne kamate u odnosu na prošlu godinu.</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poslovanja - nenaplaćeni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108.272,10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115.806,88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107,0</w:t>
            </w:r>
          </w:p>
        </w:tc>
      </w:tr>
    </w:tbl>
    <w:p>
      <w:pPr>
        <w:spacing w:before="0" w:after="0"/>
      </w:pPr>
    </w:p>
    <w:p>
      <w:r>
        <w:t xml:space="preserve">Obračunati prihodi poslovanja - nenaplaćeni odnose se na plaću za lipanj 2026. godine  te potraživanja za knjigu Heroji Vukovara.</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proizvoda i robe i pruženih usluga - nenaplaćeni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Orion sport Vukovar ima sklopljen ugovor o najmu školske dvorane. Izlazni računi za razdoblje od ožujka do lipnja 2026. godine uredno su izdani i dostavljeni putem sustava e-Račun, ali do kraja izvještajnog razdoblja nisu podmireni. Dužnik je kontaktiran te mu je dostavljen poziv na plaćanje s izvodom otvorenih stavaka. Prema izjavi predsjednika,  gospodina Cvitkovića, dospjele obveze bit će podmirene. </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2.331,80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dospjelih obveza na kraju izvještajnog razdoblja je 2.331,80 EUR i odnosi se na dio računa za nabavku namirnica za prehranu učenika za lipanj. Valuta za plaćanje računa bila je do 30. lipnja 2026. godine a kako u tom trenutku nismo primili sredstva za prehranu učenika za lipanj nismo bili u mogućnosti izvršiti plaćanje navedenih računa.</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Međusobne obveze subjekata općeg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1.826,26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međusobnih obveza subjekata općeg proračuna odnosi se na obveza za povrat u proračun sredstava koja refundira HZZO a odnose se na naknade za bolovanje iznad 42 dana 1.817,92 EUR i 8,34 EUR za povrat u proračun više isplaćene plaće za svibanj 2026. godine.</w:t>
      </w:r>
    </w:p>
    <w:p/>
    <w:p>
      <w:pPr>
        <w:jc w:val="center"/>
        <w:pStyle w:val="Normal"/>
        <w:spacing w:line="240" w:lineRule="auto"/>
        <w:keepNext/>
      </w:pPr>
      <w:r>
        <w:rPr>
          <w:sz w:val="28"/>
          <w:rFonts w:ascii="Times New Roman" w:hAnsi="Times New Roman"/>
        </w:rPr>
        <w:t xml:space="preserve">Bilješka 14.</w:t>
      </w:r>
    </w:p>
    <w:p>
      <w:pPr>
        <w:jc w:val="both"/>
        <w:pStyle w:val="Normal"/>
        <w:spacing w:line="240" w:lineRule="auto"/>
      </w:pPr>
      <w:r>
        <w:rPr>
          <w:b/>
          <w:sz w:val="24"/>
          <w:rFonts w:ascii="Times New Roman" w:hAnsi="Times New Roman"/>
        </w:rPr>
        <w:t xml:space="preserve">EU izvještaj</w:t>
      </w:r>
    </w:p>
    <w:p>
      <w:r>
        <w:t xml:space="preserve">EU izvještaj popunili smo s podatcima za Projekt Školska shema voća i povrća i mlijeka. Navedeni program financira se iz Europskog fonda za jamstva u poljoprivredi i putem nacionalnog financiranja.  </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214d5122c1ad4a3f" /></Relationships>
</file>